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519AA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广州市人民政府关于印发广州市国民经济和社会发展第十五个五年规划纲要的通知</w:t>
      </w:r>
    </w:p>
    <w:p w14:paraId="56874C4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rPr>
          <w:rFonts w:hint="eastAsia" w:ascii="宋体" w:hAnsi="宋体" w:eastAsia="宋体" w:cs="宋体"/>
          <w:i w:val="0"/>
          <w:iCs w:val="0"/>
          <w:caps w:val="0"/>
          <w:color w:val="333333"/>
          <w:spacing w:val="0"/>
          <w:sz w:val="24"/>
          <w:szCs w:val="24"/>
        </w:rPr>
      </w:pPr>
    </w:p>
    <w:p w14:paraId="07D8EF8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各区人民政府，市政府各部门、各直属机构：</w:t>
      </w:r>
    </w:p>
    <w:p w14:paraId="1692C22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《广州市国民经济和社会发展第十五个五年规划纲要》业经市十六届人大六次会议审查批准，现印发给你们，请认真组织实施。</w:t>
      </w:r>
    </w:p>
    <w:p w14:paraId="48B1552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386623C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righ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广州市人民政府</w:t>
      </w:r>
    </w:p>
    <w:p w14:paraId="1739A3F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righ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2026年5月21日</w:t>
      </w:r>
    </w:p>
    <w:p w14:paraId="175A04A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right"/>
        <w:rPr>
          <w:rFonts w:hint="eastAsia" w:ascii="宋体" w:hAnsi="宋体" w:eastAsia="宋体" w:cs="宋体"/>
          <w:i w:val="0"/>
          <w:iCs w:val="0"/>
          <w:caps w:val="0"/>
          <w:color w:val="333333"/>
          <w:spacing w:val="0"/>
          <w:sz w:val="24"/>
          <w:szCs w:val="24"/>
        </w:rPr>
      </w:pPr>
    </w:p>
    <w:p w14:paraId="77D0281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广州市国民经济和社会发展</w:t>
      </w:r>
    </w:p>
    <w:p w14:paraId="13BE39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第十五个五年规划纲要</w:t>
      </w:r>
    </w:p>
    <w:p w14:paraId="7CB83E7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（2026年1月21日市十六届人大六次会议审查批准）</w:t>
      </w:r>
    </w:p>
    <w:p w14:paraId="0A41D15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rPr>
          <w:rFonts w:hint="eastAsia" w:ascii="宋体" w:hAnsi="宋体" w:eastAsia="宋体" w:cs="宋体"/>
          <w:i w:val="0"/>
          <w:iCs w:val="0"/>
          <w:caps w:val="0"/>
          <w:color w:val="333333"/>
          <w:spacing w:val="0"/>
          <w:sz w:val="24"/>
          <w:szCs w:val="24"/>
        </w:rPr>
      </w:pPr>
    </w:p>
    <w:p w14:paraId="0A3E548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2026年5月</w:t>
      </w:r>
    </w:p>
    <w:p w14:paraId="4E57AEC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rPr>
          <w:rFonts w:hint="eastAsia" w:ascii="宋体" w:hAnsi="宋体" w:eastAsia="宋体" w:cs="宋体"/>
          <w:i w:val="0"/>
          <w:iCs w:val="0"/>
          <w:caps w:val="0"/>
          <w:color w:val="333333"/>
          <w:spacing w:val="0"/>
          <w:sz w:val="24"/>
          <w:szCs w:val="24"/>
        </w:rPr>
      </w:pPr>
    </w:p>
    <w:p w14:paraId="402686E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目  录</w:t>
      </w:r>
    </w:p>
    <w:p w14:paraId="57DC0D0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rPr>
          <w:rFonts w:hint="eastAsia" w:ascii="宋体" w:hAnsi="宋体" w:eastAsia="宋体" w:cs="宋体"/>
          <w:i w:val="0"/>
          <w:iCs w:val="0"/>
          <w:caps w:val="0"/>
          <w:color w:val="333333"/>
          <w:spacing w:val="0"/>
          <w:sz w:val="24"/>
          <w:szCs w:val="24"/>
        </w:rPr>
      </w:pPr>
    </w:p>
    <w:p w14:paraId="7B36F4E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第一篇  锚定排头兵、领头羊、火车头标高追求，奋力在推进中国式现代化建设中走在前、作示范、挑大梁 </w:t>
      </w:r>
    </w:p>
    <w:p w14:paraId="3023B01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第一章  发展基础和发展环境 </w:t>
      </w:r>
    </w:p>
    <w:p w14:paraId="1483DEE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中国式现代化广州实践实现良好开局 </w:t>
      </w:r>
    </w:p>
    <w:p w14:paraId="1C26C83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广州发展环境面临深刻复杂变化 </w:t>
      </w:r>
    </w:p>
    <w:p w14:paraId="51E148A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第二章  指导思想、基本要求和发展目标 </w:t>
      </w:r>
    </w:p>
    <w:p w14:paraId="53AE277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指导思想和基本要求 </w:t>
      </w:r>
    </w:p>
    <w:p w14:paraId="42050AD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发展目标 </w:t>
      </w:r>
    </w:p>
    <w:p w14:paraId="0848B8B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第二篇  坚持产业第一、制造业立市，推动现代化产业体系整体新跃升 </w:t>
      </w:r>
    </w:p>
    <w:p w14:paraId="561894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第三章  做强全国先进制造业基地 </w:t>
      </w:r>
    </w:p>
    <w:p w14:paraId="72C08A0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全力稳住支柱产业“基本盘” </w:t>
      </w:r>
    </w:p>
    <w:p w14:paraId="4A4E45B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积极打造新兴产业“增长盘” </w:t>
      </w:r>
    </w:p>
    <w:p w14:paraId="6ECD5BD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第三节  前瞻布局未来产业“潜力盘” </w:t>
      </w:r>
    </w:p>
    <w:p w14:paraId="7AA251B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第四章  建设具有全球影响力的服务经济中心城市 </w:t>
      </w:r>
    </w:p>
    <w:p w14:paraId="2EFDEA0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加快建设金融强市 </w:t>
      </w:r>
    </w:p>
    <w:p w14:paraId="1FFB922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全面增强专业服务业核心竞争力 </w:t>
      </w:r>
    </w:p>
    <w:p w14:paraId="5E998C3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第三节  持续提升国际会展中心城市地位 </w:t>
      </w:r>
    </w:p>
    <w:p w14:paraId="6F1E7E5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第五章  建设彰显海洋特色的现代化城市 </w:t>
      </w:r>
    </w:p>
    <w:p w14:paraId="54342D6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做大做强做优现代海洋产业 </w:t>
      </w:r>
    </w:p>
    <w:p w14:paraId="23418B9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建好用好海洋科技创新平台 </w:t>
      </w:r>
    </w:p>
    <w:p w14:paraId="3D22051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第三节  加强海洋领域合作开放 </w:t>
      </w:r>
    </w:p>
    <w:p w14:paraId="29D655A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第三篇  推动教育科技人才优势转化为现实生产力，做强国际科技创新中心重要承载地 </w:t>
      </w:r>
    </w:p>
    <w:p w14:paraId="3C4D86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第六章  提升科技创新策源能力 </w:t>
      </w:r>
    </w:p>
    <w:p w14:paraId="0FE9DA8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推进战略科技力量分层分类建设 </w:t>
      </w:r>
    </w:p>
    <w:p w14:paraId="627A855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加强关键核心技术攻关 </w:t>
      </w:r>
    </w:p>
    <w:p w14:paraId="109EE9E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第七章  强化企业科技创新主体地位 </w:t>
      </w:r>
    </w:p>
    <w:p w14:paraId="5AE2AD5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集聚壮大创新型企业 </w:t>
      </w:r>
    </w:p>
    <w:p w14:paraId="57BBF88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支持企业加大研发投入 </w:t>
      </w:r>
    </w:p>
    <w:p w14:paraId="6DE3499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第三节  加强企业为主体的产学研深度融合 </w:t>
      </w:r>
    </w:p>
    <w:p w14:paraId="4C197F1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第八章  打造科技成果转化高地 </w:t>
      </w:r>
    </w:p>
    <w:p w14:paraId="0993BB7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健全科技成果转化机制 </w:t>
      </w:r>
    </w:p>
    <w:p w14:paraId="78786E5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完善科技成果转化服务体系 </w:t>
      </w:r>
    </w:p>
    <w:p w14:paraId="55B2D4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第三节  建设科技成果转化基地 </w:t>
      </w:r>
    </w:p>
    <w:p w14:paraId="580CCB7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第九章  做强粤港澳大湾区高水平人才高地“主引擎” </w:t>
      </w:r>
    </w:p>
    <w:p w14:paraId="772F2E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创新人才培养机制 </w:t>
      </w:r>
    </w:p>
    <w:p w14:paraId="1B63F0A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集聚海内外高层次人才 </w:t>
      </w:r>
    </w:p>
    <w:p w14:paraId="4088F10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第三节  营造一流人才发展环境 </w:t>
      </w:r>
    </w:p>
    <w:p w14:paraId="3BCD679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第四篇  统筹推动内外贸创新协同发展，增强国际商贸中心资源配置能力 </w:t>
      </w:r>
    </w:p>
    <w:p w14:paraId="369F80D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第十章  建设高能级国际供应链创新中心 </w:t>
      </w:r>
    </w:p>
    <w:p w14:paraId="5C103B4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加快专业市场转型升级 </w:t>
      </w:r>
    </w:p>
    <w:p w14:paraId="3D862F5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推动大宗商品贸易提质发展 </w:t>
      </w:r>
    </w:p>
    <w:p w14:paraId="65C017D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第三节  壮大供应链“链主”企业 </w:t>
      </w:r>
    </w:p>
    <w:p w14:paraId="556C39E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第四节  构建服务全国链接全球的现代物流体系 </w:t>
      </w:r>
    </w:p>
    <w:p w14:paraId="5D103F6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第十一章  建设更富活力国际消费中心城市 </w:t>
      </w:r>
    </w:p>
    <w:p w14:paraId="61B3635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打造国际范时尚化城市消费地标 </w:t>
      </w:r>
    </w:p>
    <w:p w14:paraId="2D38740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激发消费活力潜力 </w:t>
      </w:r>
    </w:p>
    <w:p w14:paraId="67C1CF6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第三节  塑造品牌消费场景 </w:t>
      </w:r>
    </w:p>
    <w:p w14:paraId="65FC9D4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第四节  建设世界旅游目的地 </w:t>
      </w:r>
    </w:p>
    <w:p w14:paraId="382E7AE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第十二章  建设更高水平国际贸易强市 </w:t>
      </w:r>
    </w:p>
    <w:p w14:paraId="4A2B082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推动货物贸易优化升级 </w:t>
      </w:r>
    </w:p>
    <w:p w14:paraId="209D25A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培育壮大贸易新增长点 </w:t>
      </w:r>
    </w:p>
    <w:p w14:paraId="776CE1E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第三节  健全贸易支撑服务体系 </w:t>
      </w:r>
    </w:p>
    <w:p w14:paraId="13FAFF4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r>
        <w:rPr>
          <w:rStyle w:val="6"/>
          <w:rFonts w:hint="eastAsia" w:ascii="宋体" w:hAnsi="宋体" w:eastAsia="宋体" w:cs="宋体"/>
          <w:i w:val="0"/>
          <w:iCs w:val="0"/>
          <w:caps w:val="0"/>
          <w:color w:val="333333"/>
          <w:spacing w:val="0"/>
          <w:sz w:val="24"/>
          <w:szCs w:val="24"/>
          <w:bdr w:val="none" w:color="auto" w:sz="0" w:space="0"/>
          <w:shd w:val="clear" w:fill="FFFFFF"/>
        </w:rPr>
        <w:t>　第五篇  完善现代化基础设施体系，提升枢纽对经济发展支撑带动作用</w:t>
      </w:r>
    </w:p>
    <w:p w14:paraId="6394D2F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第十三章  发展壮大枢纽经济</w:t>
      </w:r>
      <w:r>
        <w:rPr>
          <w:rFonts w:hint="eastAsia" w:ascii="宋体" w:hAnsi="宋体" w:eastAsia="宋体" w:cs="宋体"/>
          <w:i w:val="0"/>
          <w:iCs w:val="0"/>
          <w:caps w:val="0"/>
          <w:color w:val="333333"/>
          <w:spacing w:val="0"/>
          <w:sz w:val="24"/>
          <w:szCs w:val="24"/>
          <w:bdr w:val="none" w:color="auto" w:sz="0" w:space="0"/>
          <w:shd w:val="clear" w:fill="FFFFFF"/>
        </w:rPr>
        <w:t> </w:t>
      </w:r>
    </w:p>
    <w:p w14:paraId="6DBD035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做大临空经济 </w:t>
      </w:r>
    </w:p>
    <w:p w14:paraId="38E1658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做优临港经济 </w:t>
      </w:r>
    </w:p>
    <w:p w14:paraId="33C0FB3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第三节  做强铁路枢纽经济 </w:t>
      </w:r>
    </w:p>
    <w:p w14:paraId="0046580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第十四章  适度超前建设新型基础设施 </w:t>
      </w:r>
    </w:p>
    <w:p w14:paraId="57D7575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完善信息基础设施网络 </w:t>
      </w:r>
    </w:p>
    <w:p w14:paraId="71ABE43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推进融合基础设施升级 </w:t>
      </w:r>
    </w:p>
    <w:p w14:paraId="44E5492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第十五章  优化基础设施功能布局 </w:t>
      </w:r>
    </w:p>
    <w:p w14:paraId="7F59C22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提升国际性综合交通枢纽城市全球辐射力 </w:t>
      </w:r>
    </w:p>
    <w:p w14:paraId="3ECAA11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增强能源资源保障能力 </w:t>
      </w:r>
    </w:p>
    <w:p w14:paraId="5643FB5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第六篇  构建多层次改革矩阵，坚定不移在进一步全面深化改革中当好排头兵 </w:t>
      </w:r>
    </w:p>
    <w:p w14:paraId="1D882F1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第十六章  强化改革试点示范</w:t>
      </w:r>
      <w:r>
        <w:rPr>
          <w:rFonts w:hint="eastAsia" w:ascii="宋体" w:hAnsi="宋体" w:eastAsia="宋体" w:cs="宋体"/>
          <w:i w:val="0"/>
          <w:iCs w:val="0"/>
          <w:caps w:val="0"/>
          <w:color w:val="333333"/>
          <w:spacing w:val="0"/>
          <w:sz w:val="24"/>
          <w:szCs w:val="24"/>
          <w:bdr w:val="none" w:color="auto" w:sz="0" w:space="0"/>
          <w:shd w:val="clear" w:fill="FFFFFF"/>
        </w:rPr>
        <w:t> </w:t>
      </w:r>
    </w:p>
    <w:p w14:paraId="3464380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打造重大改革试点新标杆 </w:t>
      </w:r>
    </w:p>
    <w:p w14:paraId="29429AA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主动承接重大改革任务 </w:t>
      </w:r>
    </w:p>
    <w:p w14:paraId="4C219AB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第十七章  高标准实施集成式改革 </w:t>
      </w:r>
    </w:p>
    <w:p w14:paraId="1F672C4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创新投融资机制 </w:t>
      </w:r>
    </w:p>
    <w:p w14:paraId="3318CF9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深化财税体制和价格机制改革 </w:t>
      </w:r>
    </w:p>
    <w:p w14:paraId="3C92FBB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第三节  提升政府服务经济发展效能 </w:t>
      </w:r>
    </w:p>
    <w:p w14:paraId="5FD7208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第十八章  充分激发各类经营主体活力 </w:t>
      </w:r>
    </w:p>
    <w:p w14:paraId="633AD36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深化国资国企改革 </w:t>
      </w:r>
    </w:p>
    <w:p w14:paraId="3D14A67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支持民营经济发展壮大 </w:t>
      </w:r>
    </w:p>
    <w:p w14:paraId="4F33FA5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第三节  建立企业育强创优引新补缺机制 </w:t>
      </w:r>
    </w:p>
    <w:p w14:paraId="7F5D92E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r>
        <w:rPr>
          <w:rStyle w:val="6"/>
          <w:rFonts w:hint="eastAsia" w:ascii="宋体" w:hAnsi="宋体" w:eastAsia="宋体" w:cs="宋体"/>
          <w:i w:val="0"/>
          <w:iCs w:val="0"/>
          <w:caps w:val="0"/>
          <w:color w:val="333333"/>
          <w:spacing w:val="0"/>
          <w:sz w:val="24"/>
          <w:szCs w:val="24"/>
          <w:bdr w:val="none" w:color="auto" w:sz="0" w:space="0"/>
          <w:shd w:val="clear" w:fill="FFFFFF"/>
        </w:rPr>
        <w:t>　第七篇  以粤港澳大湾区建设牵引高水平开放，建设竞争力更强的综合性门户 </w:t>
      </w:r>
    </w:p>
    <w:p w14:paraId="21C6CE1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第十九章  加强穗港澳全面合作</w:t>
      </w:r>
      <w:r>
        <w:rPr>
          <w:rFonts w:hint="eastAsia" w:ascii="宋体" w:hAnsi="宋体" w:eastAsia="宋体" w:cs="宋体"/>
          <w:i w:val="0"/>
          <w:iCs w:val="0"/>
          <w:caps w:val="0"/>
          <w:color w:val="333333"/>
          <w:spacing w:val="0"/>
          <w:sz w:val="24"/>
          <w:szCs w:val="24"/>
          <w:bdr w:val="none" w:color="auto" w:sz="0" w:space="0"/>
          <w:shd w:val="clear" w:fill="FFFFFF"/>
        </w:rPr>
        <w:t> </w:t>
      </w:r>
    </w:p>
    <w:p w14:paraId="08C9367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推动南沙全面开发开放 </w:t>
      </w:r>
    </w:p>
    <w:p w14:paraId="5DA3B85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深化穗港澳规则衔接机制对接 </w:t>
      </w:r>
    </w:p>
    <w:p w14:paraId="38BFDB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第三节  打造特色平台和品牌项目 </w:t>
      </w:r>
    </w:p>
    <w:p w14:paraId="46DE11E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第四节  主动对接国家区域重大战略 </w:t>
      </w:r>
    </w:p>
    <w:p w14:paraId="67E36C6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第二十章  完善高水平对外开放体制机制 </w:t>
      </w:r>
    </w:p>
    <w:p w14:paraId="294BA29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稳步扩大制度型开放 </w:t>
      </w:r>
    </w:p>
    <w:p w14:paraId="73260DB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推动开发区高质量发展 </w:t>
      </w:r>
    </w:p>
    <w:p w14:paraId="5ADAA8A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第三节  统筹高质量“引进来”与高水平“走出去” </w:t>
      </w:r>
    </w:p>
    <w:p w14:paraId="39A47EB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第二十一章  提升国际交往中心城市功能 </w:t>
      </w:r>
    </w:p>
    <w:p w14:paraId="319D57B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打造高水平国际交往交流平台 </w:t>
      </w:r>
    </w:p>
    <w:p w14:paraId="75D2318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拓展多层次国际交流交往网络 </w:t>
      </w:r>
    </w:p>
    <w:p w14:paraId="0D00E50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第三节  加强城市国际化环境建设 </w:t>
      </w:r>
    </w:p>
    <w:p w14:paraId="7CA2308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第八篇  统筹市内协同与市外联动，建成城乡区域协调发展样板 </w:t>
      </w:r>
    </w:p>
    <w:p w14:paraId="27DD1FC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第二十二章  构建多中心、组团式、网络化城市空间布局 </w:t>
      </w:r>
    </w:p>
    <w:p w14:paraId="428B136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做实做优“一带一轴、三核四极”城市空间结构 </w:t>
      </w:r>
    </w:p>
    <w:p w14:paraId="3617946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打造特色明显、优势互补发展板块 </w:t>
      </w:r>
    </w:p>
    <w:p w14:paraId="663E22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第二十三章  深入实施“百县千镇万村高质量发展工程” </w:t>
      </w:r>
    </w:p>
    <w:p w14:paraId="65CFAB0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推动强区促镇带村高质量发展 </w:t>
      </w:r>
    </w:p>
    <w:p w14:paraId="0609DA5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扎实推进乡村全面振兴 </w:t>
      </w:r>
    </w:p>
    <w:p w14:paraId="685515A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第三节  深化对口支援合作和帮扶协作 </w:t>
      </w:r>
    </w:p>
    <w:p w14:paraId="28CA2EB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第二十四章  引领带动城市群一体化发展 </w:t>
      </w:r>
    </w:p>
    <w:p w14:paraId="6B8377B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纵深推进广州都市圈同城化建设 </w:t>
      </w:r>
    </w:p>
    <w:p w14:paraId="008E7E2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强化与省内都市圈协同联动发展 </w:t>
      </w:r>
    </w:p>
    <w:p w14:paraId="6AE17F0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第九篇  深入推进超大城市现代化治理，塑造美丽宜居花城新形象 </w:t>
      </w:r>
    </w:p>
    <w:p w14:paraId="69C2E76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第二十五章  高质量开展城市更新 </w:t>
      </w:r>
    </w:p>
    <w:p w14:paraId="36FD6FB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积极稳步实施城中村改造 </w:t>
      </w:r>
    </w:p>
    <w:p w14:paraId="0BC8B2E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营造高品质生活空间 </w:t>
      </w:r>
    </w:p>
    <w:p w14:paraId="01C9181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第三节  焕新产业发展空间 </w:t>
      </w:r>
    </w:p>
    <w:p w14:paraId="0A499B9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第四节  优化提升人居环境 </w:t>
      </w:r>
    </w:p>
    <w:p w14:paraId="181795C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第二十六章  打造美丽中国城市样板 </w:t>
      </w:r>
    </w:p>
    <w:p w14:paraId="4EBD750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深化国家碳达峰试点 </w:t>
      </w:r>
    </w:p>
    <w:p w14:paraId="18C3A0F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提升生态环境治理水平 </w:t>
      </w:r>
    </w:p>
    <w:p w14:paraId="72BB7CB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第三节  共育花城生态名片 </w:t>
      </w:r>
    </w:p>
    <w:p w14:paraId="50F50D5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第四节  探索生态产品价值实现转化路径 </w:t>
      </w:r>
    </w:p>
    <w:p w14:paraId="23C0C20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第二十七章  提升现代化城市治理效能 </w:t>
      </w:r>
    </w:p>
    <w:p w14:paraId="4246341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增强城市智慧化治理能力 </w:t>
      </w:r>
    </w:p>
    <w:p w14:paraId="79D1BA7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建设现代化法治城市标杆 </w:t>
      </w:r>
    </w:p>
    <w:p w14:paraId="6661AE6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第三节  打造平安中国示范城市 </w:t>
      </w:r>
    </w:p>
    <w:p w14:paraId="06259D9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第四节  提升城市韧性水平 </w:t>
      </w:r>
    </w:p>
    <w:p w14:paraId="7EB38CF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第五节  完善多元共治社会治理格局 </w:t>
      </w:r>
    </w:p>
    <w:p w14:paraId="0BA8CB2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第十篇  全面增进民生福祉，加快建设幸福广州 </w:t>
      </w:r>
    </w:p>
    <w:p w14:paraId="7A35E6A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第二十八章  打造社会主义文化强国城市范例 </w:t>
      </w:r>
    </w:p>
    <w:p w14:paraId="130EAA8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凝聚奋进新时代新征程的精神力量 </w:t>
      </w:r>
    </w:p>
    <w:p w14:paraId="136004E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焕发国家历史文化名城新魅力 </w:t>
      </w:r>
    </w:p>
    <w:p w14:paraId="748879A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第三节  繁荣发展文化事业和文化产业 </w:t>
      </w:r>
    </w:p>
    <w:p w14:paraId="1111AD5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第四节  提升体育强市影响力 </w:t>
      </w:r>
    </w:p>
    <w:p w14:paraId="78D04F3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第二十九章  推动人口高质量发展 </w:t>
      </w:r>
    </w:p>
    <w:p w14:paraId="03AD5C3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健全人口服务体系 </w:t>
      </w:r>
    </w:p>
    <w:p w14:paraId="06695A8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办好人民满意的教育 </w:t>
      </w:r>
    </w:p>
    <w:p w14:paraId="63FE075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第三节  打造高效优质健康医疗高地 </w:t>
      </w:r>
    </w:p>
    <w:p w14:paraId="212FA14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第三十章  着力保障和改善民生 </w:t>
      </w:r>
    </w:p>
    <w:p w14:paraId="4F97396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全力稳就业促增收 </w:t>
      </w:r>
    </w:p>
    <w:p w14:paraId="5A67341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健全多层次全覆盖社会保障体系 </w:t>
      </w:r>
    </w:p>
    <w:p w14:paraId="6CCB913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第三节  推动房地产高质量发展 </w:t>
      </w:r>
    </w:p>
    <w:p w14:paraId="6DF094B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第四节  促进重点群体共享发展 </w:t>
      </w:r>
    </w:p>
    <w:p w14:paraId="0D5A3F2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第十一篇  完善规划实施保障机制，为顺利实施“十五五”规划提供坚强保证 </w:t>
      </w:r>
    </w:p>
    <w:p w14:paraId="31D052F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第三十一章  坚持和加强党的全面领导 </w:t>
      </w:r>
    </w:p>
    <w:p w14:paraId="63AA11D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第三十二章  深入推进社会主义民主政治建设 </w:t>
      </w:r>
    </w:p>
    <w:p w14:paraId="370B28D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第三十三章  健全规划体系和实施机制 </w:t>
      </w:r>
    </w:p>
    <w:p w14:paraId="5F14B72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第一节  推进规划体系建设 </w:t>
      </w:r>
    </w:p>
    <w:p w14:paraId="4811261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第二节  完善规划实施机制 </w:t>
      </w:r>
    </w:p>
    <w:p w14:paraId="154F0F7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第三节  做实政策和项目支撑 </w:t>
      </w:r>
    </w:p>
    <w:p w14:paraId="0436521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　　名词解释 </w:t>
      </w:r>
    </w:p>
    <w:p w14:paraId="487F362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C72968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本规划纲要根据《中共中央关于制定国民经济和社会发展第十五个五年规划的建议》《中共广东省委关于制定广东省国民经济和社会发展第十五个五年规划的建议》和《中共广州市委关于制定广州市国民经济和社会发展第十五个五年规划的建议》编制，主要阐明“十五五”时期（2026—2030年）全市经济社会发展的指导思想、基本要求、发展目标，落实国家、省重大战略，部署重大任务，谋划重大改革、重大平台、重大项目等，是战略性、宏观性、综合性规划，是政府履行经济调节、市场监管、社会管理、公共服务和生态环境保护职能的重要依据，是未来五年广州经济社会发展的宏伟蓝图和全市人民共同的行动纲领。</w:t>
      </w:r>
    </w:p>
    <w:p w14:paraId="44C9322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D0F7A5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第一篇  锚定排头兵、领头羊、火车头标高追求，奋力在推进中国式现代化建设中走在前、作示范、挑大梁</w:t>
      </w:r>
    </w:p>
    <w:p w14:paraId="3E5733B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584547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“十五五”时期在我国基本实现社会主义现代化进程中具有承前启后的重要地位，是夯实基础、全面发力的关键时期，也是广州锚定标高追求，加快实现老城市新活力、“四个出新出彩”</w:t>
      </w:r>
      <w:r>
        <w:rPr>
          <w:rFonts w:hint="eastAsia" w:ascii="宋体" w:hAnsi="宋体" w:eastAsia="宋体" w:cs="宋体"/>
          <w:i w:val="0"/>
          <w:iCs w:val="0"/>
          <w:caps w:val="0"/>
          <w:color w:val="333333"/>
          <w:spacing w:val="0"/>
          <w:sz w:val="15"/>
          <w:szCs w:val="15"/>
          <w:bdr w:val="none" w:color="auto" w:sz="0" w:space="0"/>
          <w:shd w:val="clear" w:fill="FFFFFF"/>
          <w:vertAlign w:val="superscript"/>
        </w:rPr>
        <w:t>1</w:t>
      </w:r>
      <w:r>
        <w:rPr>
          <w:rFonts w:hint="eastAsia" w:ascii="宋体" w:hAnsi="宋体" w:eastAsia="宋体" w:cs="宋体"/>
          <w:i w:val="0"/>
          <w:iCs w:val="0"/>
          <w:caps w:val="0"/>
          <w:color w:val="333333"/>
          <w:spacing w:val="0"/>
          <w:sz w:val="24"/>
          <w:szCs w:val="24"/>
          <w:bdr w:val="none" w:color="auto" w:sz="0" w:space="0"/>
          <w:shd w:val="clear" w:fill="FFFFFF"/>
        </w:rPr>
        <w:t>，进一步增强城市能级量级，为2035年实现“再造新广州”打下决定性基础的关键时期。</w:t>
      </w:r>
    </w:p>
    <w:p w14:paraId="65870D3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E45DDA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第一章  发展基础和发展环境</w:t>
      </w:r>
    </w:p>
    <w:p w14:paraId="692D1D7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170459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十四五”时期，在以习近平同志为核心的党中央坚强领导下，全市上下沉着应对百年变局和世纪疫情，以超常决心、超强措施攻坚克难，第二个百年奋斗目标新征程实现良好开局。“十五五”时期，面对深刻复杂变化的发展环境，必须巩固拓展优势、破除瓶颈制约、补强短板弱项，在应对风险挑战中赢得战略主动，以高质量发展的确定性应对各种不确定性，推动事关广州现代化建设全局的战略任务取得重大突破。</w:t>
      </w:r>
    </w:p>
    <w:p w14:paraId="1B67B3D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F9B077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中国式现代化广州实践实现良好开局</w:t>
      </w:r>
    </w:p>
    <w:p w14:paraId="579D65B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1C2934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“十四五”时期全市发展历程极不寻常、极不平凡。面对错综复杂的国际环境和艰巨繁重的改革发展稳定任务，全市牢记嘱托、感恩奋进，认真落实省委“1310”具体部署</w:t>
      </w:r>
      <w:r>
        <w:rPr>
          <w:rFonts w:hint="eastAsia" w:ascii="宋体" w:hAnsi="宋体" w:eastAsia="宋体" w:cs="宋体"/>
          <w:i w:val="0"/>
          <w:iCs w:val="0"/>
          <w:caps w:val="0"/>
          <w:color w:val="333333"/>
          <w:spacing w:val="0"/>
          <w:sz w:val="15"/>
          <w:szCs w:val="15"/>
          <w:bdr w:val="none" w:color="auto" w:sz="0" w:space="0"/>
          <w:shd w:val="clear" w:fill="FFFFFF"/>
          <w:vertAlign w:val="superscript"/>
        </w:rPr>
        <w:t>2</w:t>
      </w:r>
      <w:r>
        <w:rPr>
          <w:rFonts w:hint="eastAsia" w:ascii="宋体" w:hAnsi="宋体" w:eastAsia="宋体" w:cs="宋体"/>
          <w:i w:val="0"/>
          <w:iCs w:val="0"/>
          <w:caps w:val="0"/>
          <w:color w:val="333333"/>
          <w:spacing w:val="0"/>
          <w:sz w:val="24"/>
          <w:szCs w:val="24"/>
          <w:bdr w:val="none" w:color="auto" w:sz="0" w:space="0"/>
          <w:shd w:val="clear" w:fill="FFFFFF"/>
        </w:rPr>
        <w:t>，扎实推进市委“1312”思路举措</w:t>
      </w:r>
      <w:r>
        <w:rPr>
          <w:rFonts w:hint="eastAsia" w:ascii="宋体" w:hAnsi="宋体" w:eastAsia="宋体" w:cs="宋体"/>
          <w:i w:val="0"/>
          <w:iCs w:val="0"/>
          <w:caps w:val="0"/>
          <w:color w:val="333333"/>
          <w:spacing w:val="0"/>
          <w:sz w:val="15"/>
          <w:szCs w:val="15"/>
          <w:bdr w:val="none" w:color="auto" w:sz="0" w:space="0"/>
          <w:shd w:val="clear" w:fill="FFFFFF"/>
          <w:vertAlign w:val="superscript"/>
        </w:rPr>
        <w:t>3</w:t>
      </w:r>
      <w:r>
        <w:rPr>
          <w:rFonts w:hint="eastAsia" w:ascii="宋体" w:hAnsi="宋体" w:eastAsia="宋体" w:cs="宋体"/>
          <w:i w:val="0"/>
          <w:iCs w:val="0"/>
          <w:caps w:val="0"/>
          <w:color w:val="333333"/>
          <w:spacing w:val="0"/>
          <w:sz w:val="24"/>
          <w:szCs w:val="24"/>
          <w:bdr w:val="none" w:color="auto" w:sz="0" w:space="0"/>
          <w:shd w:val="clear" w:fill="FFFFFF"/>
        </w:rPr>
        <w:t>，深入实施一系列重大发展战略和重大政策举措，有效应对一系列重大风险挑战，坚定扛起经济大市挑大梁的责任，推动高质量发展取得显著成效，为“十五五”时期发展奠定坚实基础。</w:t>
      </w:r>
    </w:p>
    <w:p w14:paraId="1AB9044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经济实力迈上新台阶。全市地区生产总值迈上3.2万亿元台阶，全员劳动生产率达28万元/人。国际消费中心城市建设成效显著，社会消费品零售总额、商品进出口总值双双突破万亿元，获批国际化消费环境建设试点城市、消费新业态新模式新场景试点城市。2025年来源于广州地区一般公共预算收入超过6000亿元。GaWC世界城市排名由2020年第34位提升至2024年第22位，稳居世界一线城市。</w:t>
      </w:r>
    </w:p>
    <w:p w14:paraId="1F28C3E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现代化产业体系建设取得新成效。系统谋划建设“12218”现代化产业体系</w:t>
      </w:r>
      <w:r>
        <w:rPr>
          <w:rFonts w:hint="eastAsia" w:ascii="宋体" w:hAnsi="宋体" w:eastAsia="宋体" w:cs="宋体"/>
          <w:i w:val="0"/>
          <w:iCs w:val="0"/>
          <w:caps w:val="0"/>
          <w:color w:val="333333"/>
          <w:spacing w:val="0"/>
          <w:sz w:val="15"/>
          <w:szCs w:val="15"/>
          <w:bdr w:val="none" w:color="auto" w:sz="0" w:space="0"/>
          <w:shd w:val="clear" w:fill="FFFFFF"/>
          <w:vertAlign w:val="superscript"/>
        </w:rPr>
        <w:t>4</w:t>
      </w:r>
      <w:r>
        <w:rPr>
          <w:rFonts w:hint="eastAsia" w:ascii="宋体" w:hAnsi="宋体" w:eastAsia="宋体" w:cs="宋体"/>
          <w:i w:val="0"/>
          <w:iCs w:val="0"/>
          <w:caps w:val="0"/>
          <w:color w:val="333333"/>
          <w:spacing w:val="0"/>
          <w:sz w:val="24"/>
          <w:szCs w:val="24"/>
          <w:bdr w:val="none" w:color="auto" w:sz="0" w:space="0"/>
          <w:shd w:val="clear" w:fill="FFFFFF"/>
        </w:rPr>
        <w:t>，制造业立市根基更加厚实，小鹏汽车智造基地、广汽埃安第二工厂、维信诺、华星光电T9等重大生产力骨干项目建成投产，获批制造业新型技术改造等国家级试点示范，新型显示、生物医药、低空经济、自动驾驶等稳居全国第一方阵，数字经济核心产业增加值占地区生产总值比重达15.0%。现代服务业加快提质增效，广州期货交易所获批设立并挂牌上市交易品种，现代流通战略支点城市建设扎实推进，世界500强企业总部增至6家，生产性服务业</w:t>
      </w:r>
      <w:r>
        <w:rPr>
          <w:rFonts w:hint="eastAsia" w:ascii="宋体" w:hAnsi="宋体" w:eastAsia="宋体" w:cs="宋体"/>
          <w:i w:val="0"/>
          <w:iCs w:val="0"/>
          <w:caps w:val="0"/>
          <w:color w:val="333333"/>
          <w:spacing w:val="0"/>
          <w:sz w:val="15"/>
          <w:szCs w:val="15"/>
          <w:bdr w:val="none" w:color="auto" w:sz="0" w:space="0"/>
          <w:shd w:val="clear" w:fill="FFFFFF"/>
          <w:vertAlign w:val="superscript"/>
        </w:rPr>
        <w:t>5</w:t>
      </w:r>
      <w:r>
        <w:rPr>
          <w:rFonts w:hint="eastAsia" w:ascii="宋体" w:hAnsi="宋体" w:eastAsia="宋体" w:cs="宋体"/>
          <w:i w:val="0"/>
          <w:iCs w:val="0"/>
          <w:caps w:val="0"/>
          <w:color w:val="333333"/>
          <w:spacing w:val="0"/>
          <w:sz w:val="24"/>
          <w:szCs w:val="24"/>
          <w:bdr w:val="none" w:color="auto" w:sz="0" w:space="0"/>
          <w:shd w:val="clear" w:fill="FFFFFF"/>
        </w:rPr>
        <w:t>增加值占服务业增加值比重提升至59.0%。</w:t>
      </w:r>
    </w:p>
    <w:p w14:paraId="67DA553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科技创新实现新突破。广州实验室多项科技成果填补国内空白，粤港澳大湾区国家技术创新中心入轨运行，人类细胞谱系大科学研究设施、冷泉生态系统研究装置、人体蛋白质组导航国际大科学计划</w:t>
      </w:r>
      <w:r>
        <w:rPr>
          <w:rFonts w:hint="eastAsia" w:ascii="宋体" w:hAnsi="宋体" w:eastAsia="宋体" w:cs="宋体"/>
          <w:i w:val="0"/>
          <w:iCs w:val="0"/>
          <w:caps w:val="0"/>
          <w:color w:val="333333"/>
          <w:spacing w:val="0"/>
          <w:sz w:val="15"/>
          <w:szCs w:val="15"/>
          <w:bdr w:val="none" w:color="auto" w:sz="0" w:space="0"/>
          <w:shd w:val="clear" w:fill="FFFFFF"/>
          <w:vertAlign w:val="superscript"/>
        </w:rPr>
        <w:t>6</w:t>
      </w:r>
      <w:r>
        <w:rPr>
          <w:rFonts w:hint="eastAsia" w:ascii="宋体" w:hAnsi="宋体" w:eastAsia="宋体" w:cs="宋体"/>
          <w:i w:val="0"/>
          <w:iCs w:val="0"/>
          <w:caps w:val="0"/>
          <w:color w:val="333333"/>
          <w:spacing w:val="0"/>
          <w:sz w:val="24"/>
          <w:szCs w:val="24"/>
          <w:bdr w:val="none" w:color="auto" w:sz="0" w:space="0"/>
          <w:shd w:val="clear" w:fill="FFFFFF"/>
        </w:rPr>
        <w:t>等国家级重大科技创新平台落地建设。我国自主设计建造的首艘大洋钻探船“梦想”号在广州正式入列。全社会研发经费支出占地区生产总值比重达3.4%。入选首批国家知识产权保护示范区建设城市，每万人口高价值发明专利拥有量达43.9件。获批外籍“高精尖缺”人才认定标准试点。“深圳—香港—广州”创新集群创新指数跃居全球第一。广州在“自然指数—科研城市”全球排名由第15位跃升至第6位。</w:t>
      </w:r>
    </w:p>
    <w:p w14:paraId="445863C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改革开放打开新局面。“干部作风大转变、营商环境大提升”专项行动有力实施，国家营商环境创新试点任务圆满完成，实有经营主体总量跃居全国第二。国家、省要素市场化配置综合改革试点加力推进。广交会四期展馆建成投用，展览面积、参展企业、境外采购商数量屡创新高。国家服务业扩大开放综合试点深入推进，新设外资企业数量超3万家，在穗投资世界500强企业由309家增至368家，中国企业“走出去”综合服务基地实体化运作。粤港澳大湾区建设纵深推进，《广州南沙深化面向世界的粤港澳全面合作总体方案》出台并上升为国家战略，港澳居民个人所得税优惠、鼓励类产业15%企业所得税优惠、放宽市场准入与加强监管体制改革、“南沙金融30条”</w:t>
      </w:r>
      <w:r>
        <w:rPr>
          <w:rFonts w:hint="eastAsia" w:ascii="宋体" w:hAnsi="宋体" w:eastAsia="宋体" w:cs="宋体"/>
          <w:i w:val="0"/>
          <w:iCs w:val="0"/>
          <w:caps w:val="0"/>
          <w:color w:val="333333"/>
          <w:spacing w:val="0"/>
          <w:sz w:val="15"/>
          <w:szCs w:val="15"/>
          <w:bdr w:val="none" w:color="auto" w:sz="0" w:space="0"/>
          <w:shd w:val="clear" w:fill="FFFFFF"/>
          <w:vertAlign w:val="superscript"/>
        </w:rPr>
        <w:t>7</w:t>
      </w:r>
      <w:r>
        <w:rPr>
          <w:rFonts w:hint="eastAsia" w:ascii="宋体" w:hAnsi="宋体" w:eastAsia="宋体" w:cs="宋体"/>
          <w:i w:val="0"/>
          <w:iCs w:val="0"/>
          <w:caps w:val="0"/>
          <w:color w:val="333333"/>
          <w:spacing w:val="0"/>
          <w:sz w:val="24"/>
          <w:szCs w:val="24"/>
          <w:bdr w:val="none" w:color="auto" w:sz="0" w:space="0"/>
          <w:shd w:val="clear" w:fill="FFFFFF"/>
        </w:rPr>
        <w:t>等政策落地实施；与港澳规则衔接机制对接工作事项清单有序实施，对10个领域57项境外职业资格实行便利执业认可，香港科技大学（广州）开办招生，广州入选“粤车南下”香港首批试点城市，创新实施“穗港汽车出口快线”“生鲜快线”“马脸智能识别”；携手大湾区城市举办的十五运会和残特奥会精彩圆满，充分展现“激情全运会、活力大湾区、魅力新广州”。花都经开区升级为国家级经开区。</w:t>
      </w:r>
    </w:p>
    <w:p w14:paraId="224A82E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综合性门户建设取得新进展。白云国际机场三期扩建工程建成投用，迈入“五条跑道+三座航站楼”运行时代，机场旅客吞吐量、货邮吞吐量分别达8358万人次、244万吨，均居全国第二位，居全球第九位、第十位。南沙港区四期自动化集装箱码头、广州港环大虎岛公用航道等建成投用，港口货物、集装箱吞吐量分别达6.99亿吨、2805万标准箱，居全球第五、第六位。广州港新港二期码头、琶洲港澳客运码头等口岸扩大开放通过国家验收。广州白云站、广湛高铁、广汕高铁等建成投用，广州地铁运营的城际铁路和城市轨道交通里程超1200公里。广州成为空港型、港口型、生产服务型、商贸服务型国家物流枢纽承载城市。国际交往中心城市功能不断增强，大国外交重要承载地地位更加凸显，驻穗领馆、国际友城分别增至70家、111个。</w:t>
      </w:r>
    </w:p>
    <w:p w14:paraId="617B241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城市环境品质得到新提升。《广州市国土空间总体规划（2021—2035年）》获国务院批复，明确赋予广州“6+4”城市性质和核心功能</w:t>
      </w:r>
      <w:r>
        <w:rPr>
          <w:rFonts w:hint="eastAsia" w:ascii="宋体" w:hAnsi="宋体" w:eastAsia="宋体" w:cs="宋体"/>
          <w:i w:val="0"/>
          <w:iCs w:val="0"/>
          <w:caps w:val="0"/>
          <w:color w:val="333333"/>
          <w:spacing w:val="0"/>
          <w:sz w:val="15"/>
          <w:szCs w:val="15"/>
          <w:bdr w:val="none" w:color="auto" w:sz="0" w:space="0"/>
          <w:shd w:val="clear" w:fill="FFFFFF"/>
          <w:vertAlign w:val="superscript"/>
        </w:rPr>
        <w:t>8</w:t>
      </w:r>
      <w:r>
        <w:rPr>
          <w:rFonts w:hint="eastAsia" w:ascii="宋体" w:hAnsi="宋体" w:eastAsia="宋体" w:cs="宋体"/>
          <w:i w:val="0"/>
          <w:iCs w:val="0"/>
          <w:caps w:val="0"/>
          <w:color w:val="333333"/>
          <w:spacing w:val="0"/>
          <w:sz w:val="24"/>
          <w:szCs w:val="24"/>
          <w:bdr w:val="none" w:color="auto" w:sz="0" w:space="0"/>
          <w:shd w:val="clear" w:fill="FFFFFF"/>
        </w:rPr>
        <w:t>，编制面向2049城市发展战略，创造性构建“三脉”传承发展、“三轴”融合互动、“三核”联动发展、“三个广州”交相辉映</w:t>
      </w:r>
      <w:r>
        <w:rPr>
          <w:rFonts w:hint="eastAsia" w:ascii="宋体" w:hAnsi="宋体" w:eastAsia="宋体" w:cs="宋体"/>
          <w:i w:val="0"/>
          <w:iCs w:val="0"/>
          <w:caps w:val="0"/>
          <w:color w:val="333333"/>
          <w:spacing w:val="0"/>
          <w:sz w:val="15"/>
          <w:szCs w:val="15"/>
          <w:bdr w:val="none" w:color="auto" w:sz="0" w:space="0"/>
          <w:shd w:val="clear" w:fill="FFFFFF"/>
          <w:vertAlign w:val="superscript"/>
        </w:rPr>
        <w:t>9</w:t>
      </w:r>
      <w:r>
        <w:rPr>
          <w:rFonts w:hint="eastAsia" w:ascii="宋体" w:hAnsi="宋体" w:eastAsia="宋体" w:cs="宋体"/>
          <w:i w:val="0"/>
          <w:iCs w:val="0"/>
          <w:caps w:val="0"/>
          <w:color w:val="333333"/>
          <w:spacing w:val="0"/>
          <w:sz w:val="24"/>
          <w:szCs w:val="24"/>
          <w:bdr w:val="none" w:color="auto" w:sz="0" w:space="0"/>
          <w:shd w:val="clear" w:fill="FFFFFF"/>
        </w:rPr>
        <w:t>城市空间布局。华南国家植物园城园融合体系创新构建。国家碳达峰试点城市、废旧物资循环利用体系重点城市建设持续推进，广州碳排放权交易中心成交量居国内区域碳市场首位。空气质量优良天数比例达93.4%，20个国考、省考断面水质优良比例达100%，海绵城市、美丽河湖建设成效显著，入选全球“自然城市计划”并获全球首批、全国首个“灯塔城市”称号。城市更新有序推进，四大重点片区改造顺利开工。智慧城市建设步伐加快，累计建成5G基站超11万座，发布全国首个城市信息模型（CIM）</w:t>
      </w:r>
      <w:r>
        <w:rPr>
          <w:rFonts w:hint="eastAsia" w:ascii="宋体" w:hAnsi="宋体" w:eastAsia="宋体" w:cs="宋体"/>
          <w:i w:val="0"/>
          <w:iCs w:val="0"/>
          <w:caps w:val="0"/>
          <w:color w:val="333333"/>
          <w:spacing w:val="0"/>
          <w:sz w:val="15"/>
          <w:szCs w:val="15"/>
          <w:bdr w:val="none" w:color="auto" w:sz="0" w:space="0"/>
          <w:shd w:val="clear" w:fill="FFFFFF"/>
          <w:vertAlign w:val="superscript"/>
        </w:rPr>
        <w:t>10</w:t>
      </w:r>
      <w:r>
        <w:rPr>
          <w:rFonts w:hint="eastAsia" w:ascii="宋体" w:hAnsi="宋体" w:eastAsia="宋体" w:cs="宋体"/>
          <w:i w:val="0"/>
          <w:iCs w:val="0"/>
          <w:caps w:val="0"/>
          <w:color w:val="333333"/>
          <w:spacing w:val="0"/>
          <w:sz w:val="24"/>
          <w:szCs w:val="24"/>
          <w:bdr w:val="none" w:color="auto" w:sz="0" w:space="0"/>
          <w:shd w:val="clear" w:fill="FFFFFF"/>
        </w:rPr>
        <w:t>平台，成为国家首批新型城市基础设施建设试点城市。世界气象中心（北京）粤港澳大湾区分中心建成投用。</w:t>
      </w:r>
    </w:p>
    <w:p w14:paraId="623E28A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民生福祉达到新水平。高质量办好民生实事和民生微实事，连续四年获评中国最具幸福感城市。常住人口城镇化率达87.56%，城市、农村常住居民人均可支配收入年均分别增长4.7%、6.7%。累计新增城镇就业人数超160万人。累计新增基础教育公办学位超46万个，在穗7所高校、20个学科入选“双一流”</w:t>
      </w:r>
      <w:r>
        <w:rPr>
          <w:rFonts w:hint="eastAsia" w:ascii="宋体" w:hAnsi="宋体" w:eastAsia="宋体" w:cs="宋体"/>
          <w:i w:val="0"/>
          <w:iCs w:val="0"/>
          <w:caps w:val="0"/>
          <w:color w:val="333333"/>
          <w:spacing w:val="0"/>
          <w:sz w:val="15"/>
          <w:szCs w:val="15"/>
          <w:bdr w:val="none" w:color="auto" w:sz="0" w:space="0"/>
          <w:shd w:val="clear" w:fill="FFFFFF"/>
          <w:vertAlign w:val="superscript"/>
        </w:rPr>
        <w:t>11</w:t>
      </w:r>
      <w:r>
        <w:rPr>
          <w:rFonts w:hint="eastAsia" w:ascii="宋体" w:hAnsi="宋体" w:eastAsia="宋体" w:cs="宋体"/>
          <w:i w:val="0"/>
          <w:iCs w:val="0"/>
          <w:caps w:val="0"/>
          <w:color w:val="333333"/>
          <w:spacing w:val="0"/>
          <w:sz w:val="24"/>
          <w:szCs w:val="24"/>
          <w:bdr w:val="none" w:color="auto" w:sz="0" w:space="0"/>
          <w:shd w:val="clear" w:fill="FFFFFF"/>
        </w:rPr>
        <w:t>。新增2060家医疗卫生机构，其中三级医疗机构达85家、较2020年新增14家，每千人口拥有执业（助理）医师数达4.45人，人均预期寿命提升至84.38岁、达到发达国家水平。颐康中心实现街镇覆盖率100%，“广式养老”</w:t>
      </w:r>
      <w:r>
        <w:rPr>
          <w:rFonts w:hint="eastAsia" w:ascii="宋体" w:hAnsi="宋体" w:eastAsia="宋体" w:cs="宋体"/>
          <w:i w:val="0"/>
          <w:iCs w:val="0"/>
          <w:caps w:val="0"/>
          <w:color w:val="333333"/>
          <w:spacing w:val="0"/>
          <w:sz w:val="15"/>
          <w:szCs w:val="15"/>
          <w:bdr w:val="none" w:color="auto" w:sz="0" w:space="0"/>
          <w:shd w:val="clear" w:fill="FFFFFF"/>
          <w:vertAlign w:val="superscript"/>
        </w:rPr>
        <w:t>12</w:t>
      </w:r>
      <w:r>
        <w:rPr>
          <w:rFonts w:hint="eastAsia" w:ascii="宋体" w:hAnsi="宋体" w:eastAsia="宋体" w:cs="宋体"/>
          <w:i w:val="0"/>
          <w:iCs w:val="0"/>
          <w:caps w:val="0"/>
          <w:color w:val="333333"/>
          <w:spacing w:val="0"/>
          <w:sz w:val="24"/>
          <w:szCs w:val="24"/>
          <w:bdr w:val="none" w:color="auto" w:sz="0" w:space="0"/>
          <w:shd w:val="clear" w:fill="FFFFFF"/>
        </w:rPr>
        <w:t>连续两年获国务院督查激励，每千人口拥有3岁以下婴幼儿托位数达5.8个，获评首批国家婴幼儿照护服务示范城市。“穗救易”</w:t>
      </w:r>
      <w:r>
        <w:rPr>
          <w:rFonts w:hint="eastAsia" w:ascii="宋体" w:hAnsi="宋体" w:eastAsia="宋体" w:cs="宋体"/>
          <w:i w:val="0"/>
          <w:iCs w:val="0"/>
          <w:caps w:val="0"/>
          <w:color w:val="333333"/>
          <w:spacing w:val="0"/>
          <w:sz w:val="15"/>
          <w:szCs w:val="15"/>
          <w:bdr w:val="none" w:color="auto" w:sz="0" w:space="0"/>
          <w:shd w:val="clear" w:fill="FFFFFF"/>
          <w:vertAlign w:val="superscript"/>
        </w:rPr>
        <w:t>13</w:t>
      </w:r>
      <w:r>
        <w:rPr>
          <w:rFonts w:hint="eastAsia" w:ascii="宋体" w:hAnsi="宋体" w:eastAsia="宋体" w:cs="宋体"/>
          <w:i w:val="0"/>
          <w:iCs w:val="0"/>
          <w:caps w:val="0"/>
          <w:color w:val="333333"/>
          <w:spacing w:val="0"/>
          <w:sz w:val="24"/>
          <w:szCs w:val="24"/>
          <w:bdr w:val="none" w:color="auto" w:sz="0" w:space="0"/>
          <w:shd w:val="clear" w:fill="FFFFFF"/>
        </w:rPr>
        <w:t>等获评全国社会救助领域创新实践优秀案例。“百县千镇万村高质量发展工程”三年初见成效，高标准完成农村集体产权制度改革、农村产权流转交易规范化等国家试点，城乡居民收入比率先在国内一线城市突破至2以下，连续3次获国家“菜篮子”市长负责制考核优秀。国家版本馆广州分馆、白鹅潭大湾区艺术中心、广州文化馆新馆、广州美术馆、大湾区文化体育中心等文体新地标建成投用。蝉联全国文明城市荣誉称号。平安广州、法治广州建设扎实推进，金融、房地产等重点领域风险有效防范化解，建成最小应急单元超3万个，案件类警情、刑事立案数连年下降，荣获全国社会治安防控体系建设示范城市、全国法治政府建设示范市、全国禁毒示范城市、国家食品安全示范城市。</w:t>
      </w:r>
    </w:p>
    <w:p w14:paraId="027E609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十四五”规划主要目标任务顺利实现，全市经济实力、科技实力、治理能力和人民生活水平跃上新台阶，中国式现代化的广州实践迈出坚实步伐，第二个百年奋斗目标新征程实现良好开局。这些重大成就的取得，根本在于习近平总书记领航掌舵，在于以习近平同志为核心的党中央坚强领导，在于习近平新时代中国特色社会主义思想科学指引。</w:t>
      </w:r>
    </w:p>
    <w:p w14:paraId="34D413C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133EEA2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广州发展环境面临深刻复杂变化</w:t>
      </w:r>
    </w:p>
    <w:p w14:paraId="42A2B83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3099E22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“十五五”时期，广州发展环境面临深刻复杂的变化，不确定难预料因素增多，战略机遇和风险挑战并存。</w:t>
      </w:r>
    </w:p>
    <w:p w14:paraId="6C07685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从国际情况看，世界百年变局加速演进，国际力量对比深刻调整，“东升西降”格局持续深化，人类命运共同体理念得到国际社会广泛认同，中国式现代化道路的生命力、影响力、感召力持续增强，广州在支撑我国主动运筹国际空间、塑造外部环境方面大有可为。同时，单边主义、保护主义抬头，霸权主义和强权政治威胁上升，国际经济贸易秩序遇到严峻挑战，世界经济增长动能不足，大国博弈更加复杂激烈，地缘冲突易发多发。广州经济外向度高、国际化程度高，在世界变乱交织、动荡加剧中首当其冲，要积极主动统筹发展和安全、提高经济韧性。新一轮科技革命和产业变革加速突破，人工智能、新能源等颠覆性技术加速催生新产业新业态新模式，全球产业形态和经济格局将深刻重塑，如果抓住机遇，就能激发新动能、把握主动权，如果错失机遇，就会面临极为被动的发展局面。</w:t>
      </w:r>
    </w:p>
    <w:p w14:paraId="2ADA2C9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从国内情况看，我国正处于由中等收入国家向中等发达国家水平迈进的关键阶段，经济发展加快转型，呈现新的阶段性特征。国内大循环主体作用、内需主导作用更加凸显，经济发展由增量带动为主向做优增量和盘活存量并重转变，人口少子化、老龄化、区域人口增减分化趋势明显，这些变化将从供给和需求、总量和结构、宏观和微观等方面对经济社会发展产生重大影响。同时，我国经济基础稳、优势多、韧性强、潜能大，长期向好的支撑条件和基本趋势没有变，中国特色社会主义制度优势、超大规模市场优势、完整产业体系优势、丰富人才资源优势更加彰显，为广州经济社会平稳健康发展提供了可靠依托；中央城市工作会议系统擘画现代化人民城市建设蓝图，明确提出增强超大特大城市综合竞争力，为广州做好新时代新征程城市工作提供了根本遵循；党的二十届三中全会部署的系列改革举措将在“十五五”时期全面落地见效，国家持续深入推进粤港澳大湾区建设等区域重大战略，支持经济大省挑大梁，为广州高质量发展带来新的更大机遇。</w:t>
      </w:r>
    </w:p>
    <w:p w14:paraId="7B7D95B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从自身情况看，习近平总书记对广州提出实现老城市新活力、“四个出新出彩”，继续在高质量发展方面发挥领头羊和火车头作用的殷殷嘱托，为广州始终朝着正确方向前进提供根本遵循；国家明确赋予广州“6+4”城市性质和核心功能，以及建设南沙重大战略性平台、国家战略科技力量、国际消费中心城市等重大任务，为广州带来更高的城市定位、更强的城市功能、更大的发展空间、更多的重大利好。但与此同时，广州发展不平衡不充分问题依然突出，如保持经济平稳健康发展压力加大，产业新旧动能转换任务艰巨；科研成果转化存在卡点堵点，产业创新和科技创新融合有待进一步深化；重点领域关键环节改革任务艰巨，经营主体创新创造活力有待进一步激发；城市治理精细化、智慧化水平有待进一步提升，城中村改造任务较重；社会民生、生态环保等领域还有短板弱项，人口结构变化对经济发展、社会治理提出新课题，资源环境和要素保障制约趋紧，重点领域仍有风险隐患。</w:t>
      </w:r>
    </w:p>
    <w:p w14:paraId="24BC317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综合判断，“十五五”时期，尽管发展的外部环境和自身条件发生一系列变化，但广州产业基础雄厚、枢纽功能强大、市场腹地广阔、环境宜居宜业等优势没有改变，经济有望保持稳中向新向优，现代化产业体系加快聚链成势，科技与产业深度融合、互促双强，新旧动能转换基本实现，改革矩阵系统构建，制度型开放迈出重要步伐，城市内涵式高质量发展水平显著提升，为全国、全省作出更大贡献。必须深刻领悟“两个确立”的决定性意义，增强“四个意识”、坚定“四个自信”、做到“两个维护”，保持战略定力，增强必胜信心，积极识变应变求变，紧抓重大机遇，敢于斗争、善于斗争，勇于面对风高浪急甚至惊涛骇浪的重大考验，以历史主动精神克难关、战风险、迎挑战，集中力量办好自己的事，奋力在推进中国式现代化建设中走在前、作示范、挑大梁，为强国建设、民族复兴伟业作出新的更大贡献。</w:t>
      </w:r>
    </w:p>
    <w:p w14:paraId="615C15A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6B8ED44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第二章  指导思想、基本要求和发展目标</w:t>
      </w:r>
    </w:p>
    <w:p w14:paraId="422C410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p>
    <w:p w14:paraId="643D04D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指导思想和基本要求</w:t>
      </w:r>
    </w:p>
    <w:p w14:paraId="4443C06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AD6A9D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指导思想。坚持马克思列宁主义、毛泽东思想、邓小平理论、“三个代表”重要思想、科学发展观，全面贯彻习近平新时代中国特色社会主义思想，深入贯彻党的二十大和二十届历次全会精神，深入落实习近平总书记对广东、广州系列重要讲话和重要指示精神，围绕全面建成社会主义现代化强国、实现第二个百年奋斗目标，以中国式现代化全面推进中华民族伟大复兴，统筹推进“五位一体”总体布局，协调推进“四个全面”战略布局，统筹国内国际两个大局，完整准确全面贯彻新发展理念，积极服务和融入新发展格局，坚持稳中求进工作总基调，坚持以经济建设为中心，以推动高质量发展为主题，以提升城市能级量级为主线，以改革创新为根本动力，以满足人民日益增长的美好生活需要为根本目的，以全面从严治党为根本保障，锚定“排头兵、领头羊、火车头”标高追求，加快实现老城市新活力、“四个出新出彩”，深入落实省委“1310”具体部署，深化实施市委“1312”思路举措，推动经济实现质的有效提升和量的合理增长，推动人的全面发展、全体人民共同富裕迈出坚实步伐，奋力扛起“走在前、作示范、挑大梁”的责任担当，奋发有为在新起点上增创新优势、实现新突破。</w:t>
      </w:r>
    </w:p>
    <w:p w14:paraId="5D41FFD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基本要求。严格遵循坚持党的全面领导、坚持人民至上、坚持高质量发展、坚持全面深化改革、坚持有效市场和有为政府相结合、坚持推进超大城市治理现代化、坚持统筹发展和安全等重大原则，根据广州实际，把握好以下基本要求：</w:t>
      </w:r>
    </w:p>
    <w:p w14:paraId="1B3D94B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更加注重工商并举。坚持产业第一、制造业立市，因地制宜发展新质生产力，加快新型工业化进程，保持制造业合理比重，建强全国先进制造业基地，大力发展生产性服务业，加快现代服务业出新出彩，焕发“千年商都”新活力，促进“两业融合”“两化转型”，全力推动现代化产业体系实现整体新跃升。</w:t>
      </w:r>
    </w:p>
    <w:p w14:paraId="170EEE1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更加注重创新驱动。把创新摆在城市发展全局的核心位置，坚持敢闯敢试、敢为人先，持续激发高质量发展蓬勃生机。牢牢把握创新第一动力，推动科技创新和产业创新互促双强，精心培育创新生态，塑造发展新动能新优势。创新城市治理理念、模式和手段，以理念创新引领思路变革，以制度创新破解发展难题，以模式创新拓宽发展路径。</w:t>
      </w:r>
    </w:p>
    <w:p w14:paraId="14043DB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更加注重统筹协调。尊重人民主体地位，尊重城市发展规律，加强前瞻性思考、全局性谋划、整体性推进，推动经济、社会、人口、资源、环境在空间、结构、时序上高度协同匹配，促进城乡融合与区域协调，持续提升发展的平衡性、协调性和可持续性。</w:t>
      </w:r>
    </w:p>
    <w:p w14:paraId="16B1638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——更加注重特色发展。协同推进城市品牌提升、岭南文化赋能和全球叙事传播，统筹用好“一城二都三中心”</w:t>
      </w:r>
      <w:r>
        <w:rPr>
          <w:rFonts w:hint="eastAsia" w:ascii="宋体" w:hAnsi="宋体" w:eastAsia="宋体" w:cs="宋体"/>
          <w:i w:val="0"/>
          <w:iCs w:val="0"/>
          <w:caps w:val="0"/>
          <w:color w:val="333333"/>
          <w:spacing w:val="0"/>
          <w:sz w:val="15"/>
          <w:szCs w:val="15"/>
          <w:bdr w:val="none" w:color="auto" w:sz="0" w:space="0"/>
          <w:shd w:val="clear" w:fill="FFFFFF"/>
          <w:vertAlign w:val="superscript"/>
        </w:rPr>
        <w:t>14</w:t>
      </w:r>
      <w:r>
        <w:rPr>
          <w:rFonts w:hint="eastAsia" w:ascii="宋体" w:hAnsi="宋体" w:eastAsia="宋体" w:cs="宋体"/>
          <w:i w:val="0"/>
          <w:iCs w:val="0"/>
          <w:caps w:val="0"/>
          <w:color w:val="333333"/>
          <w:spacing w:val="0"/>
          <w:sz w:val="24"/>
          <w:szCs w:val="24"/>
          <w:bdr w:val="none" w:color="auto" w:sz="0" w:space="0"/>
          <w:shd w:val="clear" w:fill="FFFFFF"/>
        </w:rPr>
        <w:t>等城市名片，围绕“15个强市”“5个广州”</w:t>
      </w:r>
      <w:r>
        <w:rPr>
          <w:rFonts w:hint="eastAsia" w:ascii="宋体" w:hAnsi="宋体" w:eastAsia="宋体" w:cs="宋体"/>
          <w:i w:val="0"/>
          <w:iCs w:val="0"/>
          <w:caps w:val="0"/>
          <w:color w:val="333333"/>
          <w:spacing w:val="0"/>
          <w:sz w:val="15"/>
          <w:szCs w:val="15"/>
          <w:bdr w:val="none" w:color="auto" w:sz="0" w:space="0"/>
          <w:shd w:val="clear" w:fill="FFFFFF"/>
          <w:vertAlign w:val="superscript"/>
        </w:rPr>
        <w:t>15</w:t>
      </w:r>
      <w:r>
        <w:rPr>
          <w:rFonts w:hint="eastAsia" w:ascii="宋体" w:hAnsi="宋体" w:eastAsia="宋体" w:cs="宋体"/>
          <w:i w:val="0"/>
          <w:iCs w:val="0"/>
          <w:caps w:val="0"/>
          <w:color w:val="333333"/>
          <w:spacing w:val="0"/>
          <w:sz w:val="24"/>
          <w:szCs w:val="24"/>
          <w:bdr w:val="none" w:color="auto" w:sz="0" w:space="0"/>
          <w:shd w:val="clear" w:fill="FFFFFF"/>
        </w:rPr>
        <w:t>建设，分领域打造特色品牌，推动广州擦亮创新底色、塑造时尚气质、绽放经典魅力、激发时代活力，全面提升城市美誉度和竞争力。</w:t>
      </w:r>
    </w:p>
    <w:p w14:paraId="2060AA0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BA191F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发展目标</w:t>
      </w:r>
    </w:p>
    <w:p w14:paraId="261BE92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p>
    <w:p w14:paraId="1978775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十五五”时期，广州经济社会发展总体目标是：创新、宜居、美丽、韧性、文明、智慧的现代化人民城市建设取得重要进展，“6+4”城市性质和核心功能进一步强化，老城市新活力、“四个出新出彩”取得显著成效，高质量发展领头羊和火车头作用充分彰显，基础设施、产业发展、科教人才新优势全面提升，引领型国家中心城市、开放型大湾区核心引擎、高能级省会城市功能持续强化，经济实力、科技实力、城市综合竞争力和国际影响力跃上新台阶，人均地区生产总值达到世界中等发达国家水平，率先基本实现社会主义现代化，为推进中国式现代化建设作出应有贡献。要努力实现以下具体目标：</w:t>
      </w:r>
    </w:p>
    <w:p w14:paraId="7BE2FC5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高质量发展成效显著，经济能级量级更高。经济增长保持在合理区间，全市地区生产总值年均增长5.0%左右，全要素生产率稳步提升，国际消费中心城市吸引力和繁荣度进一步提高，有效投资持续扩大，对外贸易扩量提质，先进制造业和现代服务业互促共进，形成一批能级高、竞争力强的动力源和增长极，发展新质生产力、服务和融入新发展格局、建设现代化经济体系取得重大突破，经济大市挑大梁作用充分彰显。</w:t>
      </w:r>
    </w:p>
    <w:p w14:paraId="26BEC56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产业科技互促双强实现重大突破，创新并跑领跑领域更广。科技创新和产业创新深度融合，以产业需求为导向的关键核心技术攻关取得重大突破，基础研究和原始创新能力显著增强，重点领域关键核心技术加速突破，科技成果转移转化更加高效顺畅，全社会研发经费投入占地区生产总值比重达到4.0%左右，企业研发经费支出占全社会研发经费支出比重达到70%。统筹教育科技人才一体化发展机制建立健全，培育引进一批具有国际竞争力的创新型龙头企业和创新型领军人才。</w:t>
      </w:r>
    </w:p>
    <w:p w14:paraId="6C30514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全面深化改革开放取得决定性成果，增长动力活力更强。中央重大改革部署全面落实，引领性、首创性改革取得显著成果，市场化法治化国际化营商环境系统优化，各类经营主体活力充分迸发。高水平对外开放体制机制更加健全，链接内外循环的优势更加巩固，商品进出口总值年均增长6.0%左右，国际交往中心城市影响力进一步提升。</w:t>
      </w:r>
    </w:p>
    <w:p w14:paraId="6C86648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城市内涵式发展成效彰显，环境品质品位更优。“三脉”“三轴”“三核”城市空间布局优化提升，形成若干特色明显、优势互补的发展板块，中心城区非核心功能和人口得到有效疏解，外围城区产城融合、职住平衡显著改善。国际性综合交通枢纽集成融合，枢纽经济发展壮大。城市更新取得突破性进展，“百县千镇万村高质量发展工程”实现“五年显著变化”、为“十年根本改变”奠定坚实基础。</w:t>
      </w:r>
    </w:p>
    <w:p w14:paraId="6CB31CD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精神文明建设成果丰硕，文化创新创造活力更足。城市文化创造力、影响力、传播力显著增强，社会主义核心价值观深入人心，社会文明程度明显提升。人民精神文化生活更加丰富，公民科学素质水平稳步提高，文化事业和文化产业繁荣发展，物质文明和精神文明更加协调，城市文化综合实力明显增强。</w:t>
      </w:r>
    </w:p>
    <w:p w14:paraId="48FE307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民生福祉进一步改善，发展富民惠民成效更实。实现高质量充分就业，居民收入增长和经济增长同步、劳动报酬提高和劳动生产率提高同步，城乡居民人均可支配收入比值缩小至1.9，共同富裕取得明显的实质性进展。教育、医疗、养老、抚幼等公共服务更加优质均衡，社会保障制度更加优化更可持续，人均预期寿命提高到85岁以上。实现人口高质量发展，建成全龄友好型社会。</w:t>
      </w:r>
    </w:p>
    <w:p w14:paraId="37CEA4E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城市治理水平全面提升，安全长治长效根基更牢。美丽广州建设取得新的重大进展，生产空间集约高效，生活空间宜居适度，生态空间山清水秀。绿色生产生活方式基本形成，碳达峰目标如期实现，单位地区生产总值二氧化碳排放水平继续走在全国前列，清洁低碳安全高效的新型能源体系初步建成，主要污染物排放总量持续减少。城市安全体系和能力进一步加强，重点领域风险得到有效防范化解，重特大事故得到有效遏制，社会治理和公共安全治理能力切实增强，现代化法治城市标杆、平安中国示范城市建设达到更高水平。</w:t>
      </w:r>
    </w:p>
    <w:p w14:paraId="6AAC9B6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展望二〇三五年，“再造新广州”主要目标全面实现，经济总量相较于2023年翻一番，奋力实现社会主义现代化取得决定性进展。到那时，创新引领力、生产服务力、枢纽辐射力、开放联通力、文化影响力、现代化治理能力全面增强，人民群众生活更加幸福美好，老城市新活力全面勃发，建成现代化人民城市，以更加雄厚的实力、更加昂扬的姿态加快迈向具有经典魅力和时代活力的中心型世界城市。</w:t>
      </w:r>
    </w:p>
    <w:tbl>
      <w:tblPr>
        <w:tblW w:w="872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692"/>
        <w:gridCol w:w="450"/>
        <w:gridCol w:w="690"/>
        <w:gridCol w:w="1470"/>
        <w:gridCol w:w="2910"/>
        <w:gridCol w:w="3030"/>
        <w:gridCol w:w="750"/>
      </w:tblGrid>
      <w:tr w14:paraId="2517C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blHeader/>
          <w:jc w:val="center"/>
        </w:trPr>
        <w:tc>
          <w:tcPr>
            <w:tcW w:w="750" w:type="dxa"/>
            <w:gridSpan w:val="7"/>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5905C5FC">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pPr>
            <w:bookmarkStart w:id="1" w:name="_GoBack"/>
            <w:bookmarkEnd w:id="1"/>
            <w:r>
              <w:rPr>
                <w:rStyle w:val="6"/>
                <w:rFonts w:hint="eastAsia" w:ascii="宋体" w:hAnsi="宋体" w:eastAsia="宋体" w:cs="宋体"/>
                <w:i w:val="0"/>
                <w:iCs w:val="0"/>
                <w:caps w:val="0"/>
                <w:color w:val="333333"/>
                <w:spacing w:val="0"/>
                <w:sz w:val="24"/>
                <w:szCs w:val="24"/>
                <w:bdr w:val="none" w:color="auto" w:sz="0" w:space="0"/>
              </w:rPr>
              <w:t>专栏1  “十五五”时期经济社会发展主要指标</w:t>
            </w:r>
          </w:p>
        </w:tc>
      </w:tr>
      <w:tr w14:paraId="5B14A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blHeader/>
          <w:jc w:val="center"/>
        </w:trPr>
        <w:tc>
          <w:tcPr>
            <w:tcW w:w="0" w:type="auto"/>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27258C43">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pPr>
            <w:r>
              <w:rPr>
                <w:rStyle w:val="6"/>
                <w:rFonts w:hint="eastAsia" w:ascii="宋体" w:hAnsi="宋体" w:eastAsia="宋体" w:cs="宋体"/>
                <w:i w:val="0"/>
                <w:iCs w:val="0"/>
                <w:caps w:val="0"/>
                <w:color w:val="333333"/>
                <w:spacing w:val="0"/>
                <w:sz w:val="24"/>
                <w:szCs w:val="24"/>
                <w:bdr w:val="none" w:color="auto" w:sz="0" w:space="0"/>
              </w:rPr>
              <w:t>类别</w:t>
            </w: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0DDDB174">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pPr>
            <w:r>
              <w:rPr>
                <w:rStyle w:val="6"/>
                <w:rFonts w:hint="eastAsia" w:ascii="宋体" w:hAnsi="宋体" w:eastAsia="宋体" w:cs="宋体"/>
                <w:i w:val="0"/>
                <w:iCs w:val="0"/>
                <w:caps w:val="0"/>
                <w:color w:val="333333"/>
                <w:spacing w:val="0"/>
                <w:sz w:val="24"/>
                <w:szCs w:val="24"/>
                <w:bdr w:val="none" w:color="auto" w:sz="0" w:space="0"/>
              </w:rPr>
              <w:t>指标</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35462FBB">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pPr>
            <w:r>
              <w:rPr>
                <w:rStyle w:val="6"/>
                <w:rFonts w:hint="eastAsia" w:ascii="宋体" w:hAnsi="宋体" w:eastAsia="宋体" w:cs="宋体"/>
                <w:i w:val="0"/>
                <w:iCs w:val="0"/>
                <w:caps w:val="0"/>
                <w:color w:val="333333"/>
                <w:spacing w:val="0"/>
                <w:sz w:val="24"/>
                <w:szCs w:val="24"/>
                <w:bdr w:val="none" w:color="auto" w:sz="0" w:space="0"/>
              </w:rPr>
              <w:t>单位</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11404E43">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pPr>
            <w:r>
              <w:rPr>
                <w:rStyle w:val="6"/>
                <w:rFonts w:hint="eastAsia" w:ascii="宋体" w:hAnsi="宋体" w:eastAsia="宋体" w:cs="宋体"/>
                <w:i w:val="0"/>
                <w:iCs w:val="0"/>
                <w:caps w:val="0"/>
                <w:color w:val="333333"/>
                <w:spacing w:val="0"/>
                <w:sz w:val="24"/>
                <w:szCs w:val="24"/>
                <w:bdr w:val="none" w:color="auto" w:sz="0" w:space="0"/>
              </w:rPr>
              <w:t>2025年完成值</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28C25291">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pPr>
            <w:r>
              <w:rPr>
                <w:rStyle w:val="6"/>
                <w:rFonts w:hint="eastAsia" w:ascii="宋体" w:hAnsi="宋体" w:eastAsia="宋体" w:cs="宋体"/>
                <w:i w:val="0"/>
                <w:iCs w:val="0"/>
                <w:caps w:val="0"/>
                <w:color w:val="333333"/>
                <w:spacing w:val="0"/>
                <w:sz w:val="24"/>
                <w:szCs w:val="24"/>
                <w:bdr w:val="none" w:color="auto" w:sz="0" w:space="0"/>
              </w:rPr>
              <w:t>2030年目标值</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007B2275">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pPr>
            <w:r>
              <w:rPr>
                <w:rStyle w:val="6"/>
                <w:rFonts w:hint="eastAsia" w:ascii="宋体" w:hAnsi="宋体" w:eastAsia="宋体" w:cs="宋体"/>
                <w:i w:val="0"/>
                <w:iCs w:val="0"/>
                <w:caps w:val="0"/>
                <w:color w:val="333333"/>
                <w:spacing w:val="0"/>
                <w:sz w:val="24"/>
                <w:szCs w:val="24"/>
                <w:bdr w:val="none" w:color="auto" w:sz="0" w:space="0"/>
              </w:rPr>
              <w:t>属性</w:t>
            </w:r>
          </w:p>
        </w:tc>
      </w:tr>
      <w:tr w14:paraId="736A4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825089A">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Style w:val="6"/>
                <w:rFonts w:hint="eastAsia" w:ascii="宋体" w:hAnsi="宋体" w:eastAsia="宋体" w:cs="宋体"/>
                <w:i w:val="0"/>
                <w:iCs w:val="0"/>
                <w:caps w:val="0"/>
                <w:color w:val="333333"/>
                <w:spacing w:val="0"/>
                <w:sz w:val="24"/>
                <w:szCs w:val="24"/>
                <w:bdr w:val="none" w:color="auto" w:sz="0" w:space="0"/>
              </w:rPr>
              <w:t>经济发展</w:t>
            </w: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3E1B7F9">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1. 地区生产总值年均增长</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0A364992">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1EAFDD80">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“十四五”年均增长4.0</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4357A6AB">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“十五五”年均增长5.0左右</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4361AA27">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预期性</w:t>
            </w:r>
          </w:p>
        </w:tc>
      </w:tr>
      <w:tr w14:paraId="1512F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DF83141">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D016CF6">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2. 全员劳动生产率</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199E256E">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万元/人</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3AE06561">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28</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004EC34C">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36</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1DDC2F06">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预期性</w:t>
            </w:r>
          </w:p>
        </w:tc>
      </w:tr>
      <w:tr w14:paraId="191DA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3CA3ED5">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84EF501">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3. 工业总产值</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3E677C48">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万亿元</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40A14FB8">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2.5</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0F4E3788">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3</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792E5E7C">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预期性</w:t>
            </w:r>
          </w:p>
        </w:tc>
      </w:tr>
      <w:tr w14:paraId="61C07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5CF26AB">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B314AB2">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4. “15+8”产业增加值占地区生产总值比重*</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2A090C48">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354C2393">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58.6</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579C8E95">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67.5</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7554266E">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预期性</w:t>
            </w:r>
          </w:p>
        </w:tc>
      </w:tr>
      <w:tr w14:paraId="26904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B9171CF">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4148EEC">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5. 数字经济核心产业增加值占地区生产总值比重</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06F84948">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4A3FE275">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15.0</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35A273EE">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18.0</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600E2B68">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预期性</w:t>
            </w:r>
          </w:p>
        </w:tc>
      </w:tr>
      <w:tr w14:paraId="2BEC5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748B6FC">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1CD0F54">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6. 社会消费品零售总额年均增长</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1734FF70">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15FF97DA">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“十四五”年均增长4.1</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6CC79D1C">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“十五五”年均增长</w:t>
            </w:r>
          </w:p>
          <w:p w14:paraId="6241A64D">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5.0左右</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3FB75D70">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预期性</w:t>
            </w:r>
          </w:p>
        </w:tc>
      </w:tr>
      <w:tr w14:paraId="79EFC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0C8CFCC">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9358FD0">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7. 海洋生产总值*</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13DE0FE6">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亿元</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482DAE02">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5231</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616CDCB9">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7300</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594756BA">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预期性</w:t>
            </w:r>
          </w:p>
        </w:tc>
      </w:tr>
      <w:tr w14:paraId="4F7F8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FB36FCA">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Style w:val="6"/>
                <w:rFonts w:hint="eastAsia" w:ascii="宋体" w:hAnsi="宋体" w:eastAsia="宋体" w:cs="宋体"/>
                <w:i w:val="0"/>
                <w:iCs w:val="0"/>
                <w:caps w:val="0"/>
                <w:color w:val="333333"/>
                <w:spacing w:val="0"/>
                <w:sz w:val="24"/>
                <w:szCs w:val="24"/>
                <w:bdr w:val="none" w:color="auto" w:sz="0" w:space="0"/>
              </w:rPr>
              <w:t>科技创新</w:t>
            </w: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E0BA98B">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8. 全社会研发经费支出占地区生产总值比重</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146B379B">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523CE79F">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3.4</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65492ED2">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4.0左右</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7A63216C">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预期性</w:t>
            </w:r>
          </w:p>
        </w:tc>
      </w:tr>
      <w:tr w14:paraId="5E00C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06642C5">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EED7C44">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9. 企业研发经费支出占全社会研发经费支出比重</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4AC04AA5">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64D1A982">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66</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02713D0D">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70</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008422FA">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预期性</w:t>
            </w:r>
          </w:p>
        </w:tc>
      </w:tr>
      <w:tr w14:paraId="52A75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E691CCE">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32514B3">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10. 每万人高价值发明专利拥有量</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21B53E9F">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件</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5C1D7FB0">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43.9</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4DD70E66">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60</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00F8A662">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预期性</w:t>
            </w:r>
          </w:p>
        </w:tc>
      </w:tr>
      <w:tr w14:paraId="7A6D3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7DE40E1">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Style w:val="6"/>
                <w:rFonts w:hint="eastAsia" w:ascii="宋体" w:hAnsi="宋体" w:eastAsia="宋体" w:cs="宋体"/>
                <w:i w:val="0"/>
                <w:iCs w:val="0"/>
                <w:caps w:val="0"/>
                <w:color w:val="333333"/>
                <w:spacing w:val="0"/>
                <w:sz w:val="24"/>
                <w:szCs w:val="24"/>
                <w:bdr w:val="none" w:color="auto" w:sz="0" w:space="0"/>
              </w:rPr>
              <w:t>对外开放</w:t>
            </w: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9FCEBC8">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11. 商品进出口总值年均增长</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5AAD79F2">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04A77349">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“十四五”年均增长5.4</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64D8E54D">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“十五五”年均增长</w:t>
            </w:r>
          </w:p>
          <w:p w14:paraId="32EFCD80">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6.0左右</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1C8746E7">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预期性</w:t>
            </w:r>
          </w:p>
        </w:tc>
      </w:tr>
      <w:tr w14:paraId="58D66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B966D8D">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D2209F9">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12. 服务外包合同执行额</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4B92D7CA">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亿美元</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148BFBE7">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200</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4574320B">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240</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19CEC777">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预期性</w:t>
            </w:r>
          </w:p>
        </w:tc>
      </w:tr>
      <w:tr w14:paraId="061C4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03D85B9">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DF76274">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13. 机场旅客/货邮吞吐量</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4B1D23F9">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万人次/</w:t>
            </w:r>
          </w:p>
          <w:p w14:paraId="28D4F6D5">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万吨</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5E84CA7D">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8358/244</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78FD9496">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11000/350</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2D87272F">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预期性</w:t>
            </w:r>
          </w:p>
        </w:tc>
      </w:tr>
      <w:tr w14:paraId="5FBE9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8BB8D21">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FB8F0CD">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14. 港口货物/集装箱吞吐量</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2F0DC51F">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亿吨/</w:t>
            </w:r>
          </w:p>
          <w:p w14:paraId="0A335FC1">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万标箱</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2F9A26DC">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6.99/2805</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10619362">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7.4/3100</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35F86D14">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预期性</w:t>
            </w:r>
          </w:p>
        </w:tc>
      </w:tr>
      <w:tr w14:paraId="30F8A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D4F26E3">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Style w:val="6"/>
                <w:rFonts w:hint="eastAsia" w:ascii="宋体" w:hAnsi="宋体" w:eastAsia="宋体" w:cs="宋体"/>
                <w:i w:val="0"/>
                <w:iCs w:val="0"/>
                <w:caps w:val="0"/>
                <w:color w:val="333333"/>
                <w:spacing w:val="0"/>
                <w:sz w:val="24"/>
                <w:szCs w:val="24"/>
                <w:bdr w:val="none" w:color="auto" w:sz="0" w:space="0"/>
              </w:rPr>
              <w:t>绿色低碳</w:t>
            </w: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503711E">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15. 单位地区生产总值二氧化碳排放降低</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2AB9A9BE">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0F132243">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2021-2024年累计降低8.2</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23DF751F">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完成省下达目标</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6F9B7ACE">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约束性</w:t>
            </w:r>
          </w:p>
        </w:tc>
      </w:tr>
      <w:tr w14:paraId="4C988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E3BC914">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4FAC32F">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16. 细颗粒物（PM</w:t>
            </w:r>
            <w:r>
              <w:rPr>
                <w:rFonts w:hint="eastAsia" w:ascii="宋体" w:hAnsi="宋体" w:eastAsia="宋体" w:cs="宋体"/>
                <w:i w:val="0"/>
                <w:iCs w:val="0"/>
                <w:caps w:val="0"/>
                <w:color w:val="333333"/>
                <w:spacing w:val="0"/>
                <w:sz w:val="24"/>
                <w:szCs w:val="24"/>
                <w:bdr w:val="none" w:color="auto" w:sz="0" w:space="0"/>
                <w:vertAlign w:val="subscript"/>
              </w:rPr>
              <w:t>2.5</w:t>
            </w:r>
            <w:r>
              <w:rPr>
                <w:rFonts w:hint="eastAsia" w:ascii="宋体" w:hAnsi="宋体" w:eastAsia="宋体" w:cs="宋体"/>
                <w:i w:val="0"/>
                <w:iCs w:val="0"/>
                <w:caps w:val="0"/>
                <w:color w:val="333333"/>
                <w:spacing w:val="0"/>
                <w:sz w:val="24"/>
                <w:szCs w:val="24"/>
                <w:bdr w:val="none" w:color="auto" w:sz="0" w:space="0"/>
              </w:rPr>
              <w:t>）年均浓度</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1CD236FC">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微克/立方米</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267BAC37">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21.5</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5F55F501">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≤20</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2CCF6A6C">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约束性</w:t>
            </w:r>
          </w:p>
        </w:tc>
      </w:tr>
      <w:tr w14:paraId="5C08C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C0AFB62">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43FD82F">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17. 地表水优良水体比例*</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79294620">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6A6115DA">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100</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5DBE6086">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完成省下达目标</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0B2B1EBE">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约束性</w:t>
            </w:r>
          </w:p>
        </w:tc>
      </w:tr>
      <w:tr w14:paraId="71B40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E258147">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5D848E3">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18. 森林覆盖率</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4F21330E">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4F9ABF3E">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41.65</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292FEE13">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完成省下达目标</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499CDD65">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约束性</w:t>
            </w:r>
          </w:p>
        </w:tc>
      </w:tr>
      <w:tr w14:paraId="66980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ECD462A">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Style w:val="6"/>
                <w:rFonts w:hint="eastAsia" w:ascii="宋体" w:hAnsi="宋体" w:eastAsia="宋体" w:cs="宋体"/>
                <w:i w:val="0"/>
                <w:iCs w:val="0"/>
                <w:caps w:val="0"/>
                <w:color w:val="333333"/>
                <w:spacing w:val="0"/>
                <w:sz w:val="24"/>
                <w:szCs w:val="24"/>
                <w:bdr w:val="none" w:color="auto" w:sz="0" w:space="0"/>
              </w:rPr>
              <w:t>民生福祉</w:t>
            </w: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10019FE">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19. 常住人口城镇化率</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3CD7FF7F">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67CE2E39">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87.56</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5865605D">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88</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336BBC60">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预期性</w:t>
            </w:r>
          </w:p>
        </w:tc>
      </w:tr>
      <w:tr w14:paraId="4A9C2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EA94734">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9A22FEA">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20. 累计城镇新增就业人数</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60CFF59F">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万人</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33382444">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“十四五”</w:t>
            </w:r>
          </w:p>
          <w:p w14:paraId="744FB563">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累计新增160</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58899A55">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完成省下达目标</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7F85FFFA">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预期性</w:t>
            </w:r>
          </w:p>
        </w:tc>
      </w:tr>
      <w:tr w14:paraId="1D278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9DBECB9">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251EB01">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21. 常住居民人均可支配收入年均增速</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1E14B01E">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42409E5F">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“十四五”年均增长5.0</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356B3089">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与经济增长同步</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16496A54">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预期性</w:t>
            </w:r>
          </w:p>
        </w:tc>
      </w:tr>
      <w:tr w14:paraId="6FADE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150384B">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2BFB941">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22. 城乡居民人均可支配收入比值</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49D60FDB">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208ED958">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1.99</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118B2B5C">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1.9</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1E6C187D">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预期性</w:t>
            </w:r>
          </w:p>
        </w:tc>
      </w:tr>
      <w:tr w14:paraId="191C8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0AFEC03">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10F9D0B">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23. 普通高中入学率</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329F9BE2">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45A48E51">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57.61</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33891A09">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≥70</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0A215C2D">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预期性</w:t>
            </w:r>
          </w:p>
        </w:tc>
      </w:tr>
      <w:tr w14:paraId="7AC09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7C9CDBB">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c>
          <w:tcPr>
            <w:tcW w:w="395"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9D30075">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24. 每千人口拥有医护人员数</w:t>
            </w:r>
          </w:p>
        </w:tc>
        <w:tc>
          <w:tcPr>
            <w:tcW w:w="581"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3D07398">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每千人口拥有执业（助理）医师数</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55E69CD8">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人</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528E4546">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4.45</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348FE24B">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4.50</w:t>
            </w:r>
          </w:p>
        </w:tc>
        <w:tc>
          <w:tcPr>
            <w:tcW w:w="750" w:type="dxa"/>
            <w:vMerge w:val="restart"/>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5CF8531C">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预期性</w:t>
            </w:r>
          </w:p>
        </w:tc>
      </w:tr>
      <w:tr w14:paraId="430DD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0FC9938">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c>
          <w:tcPr>
            <w:tcW w:w="395"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E8E4423">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c>
          <w:tcPr>
            <w:tcW w:w="581"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498AFF8">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每千人口拥有注册护士数</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0A0AC071">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人</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7737D4A6">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5.21</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7876A4DB">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5.30</w:t>
            </w:r>
          </w:p>
        </w:tc>
        <w:tc>
          <w:tcPr>
            <w:tcW w:w="750" w:type="dxa"/>
            <w:vMerge w:val="continue"/>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3C04BB95">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r>
      <w:tr w14:paraId="0F6F6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77EC197">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9AF2EFD">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25. 养老机构认知障碍照护床位数</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327F593C">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张</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67617030">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5500</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7A9FDDA2">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≥7000</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0C9186F7">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预期性</w:t>
            </w:r>
          </w:p>
        </w:tc>
      </w:tr>
      <w:tr w14:paraId="0FE10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65A9B7E">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DB90FD8">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26. 3岁以下婴幼儿入托率</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467C0C18">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710D4C23">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10</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15656BA2">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20</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2A3AC973">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预期性</w:t>
            </w:r>
          </w:p>
        </w:tc>
      </w:tr>
      <w:tr w14:paraId="6AFF9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603E819">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A624955">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27. 人均预期寿命</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1757E62F">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岁</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484D53B4">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84.38</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79047891">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≥85</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662ACF1B">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预期性</w:t>
            </w:r>
          </w:p>
        </w:tc>
      </w:tr>
      <w:tr w14:paraId="1589D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0" w:type="auto"/>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4A72D8F">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Style w:val="6"/>
                <w:rFonts w:hint="eastAsia" w:ascii="宋体" w:hAnsi="宋体" w:eastAsia="宋体" w:cs="宋体"/>
                <w:i w:val="0"/>
                <w:iCs w:val="0"/>
                <w:caps w:val="0"/>
                <w:color w:val="333333"/>
                <w:spacing w:val="0"/>
                <w:sz w:val="24"/>
                <w:szCs w:val="24"/>
                <w:bdr w:val="none" w:color="auto" w:sz="0" w:space="0"/>
              </w:rPr>
              <w:t>安全保障</w:t>
            </w: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3E7A43E">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28. 电力电源装机规模</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77BD5C3A">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万千瓦</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38922523">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1624</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028C2578">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2050</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0DE48AE0">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预期性</w:t>
            </w:r>
          </w:p>
        </w:tc>
      </w:tr>
      <w:tr w14:paraId="28768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221"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90DD083">
            <w:pPr>
              <w:keepNext/>
              <w:snapToGrid w:val="0"/>
              <w:ind w:left="0" w:leftChars="0" w:right="0" w:rightChars="0" w:firstLine="0" w:firstLineChars="0"/>
              <w:jc w:val="center"/>
              <w:rPr>
                <w:rFonts w:hint="eastAsia" w:ascii="宋体" w:hAnsi="宋体" w:eastAsia="宋体" w:cs="宋体"/>
                <w:i w:val="0"/>
                <w:iCs w:val="0"/>
                <w:caps w:val="0"/>
                <w:color w:val="333333"/>
                <w:spacing w:val="0"/>
                <w:sz w:val="24"/>
                <w:szCs w:val="24"/>
              </w:rPr>
            </w:pPr>
          </w:p>
        </w:tc>
        <w:tc>
          <w:tcPr>
            <w:tcW w:w="97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3D5FA88">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center"/>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29. 单位地区生产总值生产安全事故死亡率</w:t>
            </w:r>
          </w:p>
        </w:tc>
        <w:tc>
          <w:tcPr>
            <w:tcW w:w="147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066F7D23">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人/百亿元</w:t>
            </w:r>
          </w:p>
        </w:tc>
        <w:tc>
          <w:tcPr>
            <w:tcW w:w="291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7904C705">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0.61</w:t>
            </w:r>
          </w:p>
        </w:tc>
        <w:tc>
          <w:tcPr>
            <w:tcW w:w="303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75A417B3">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完成省下达目标</w:t>
            </w:r>
          </w:p>
        </w:tc>
        <w:tc>
          <w:tcPr>
            <w:tcW w:w="750" w:type="dxa"/>
            <w:tcBorders>
              <w:top w:val="single" w:color="000000" w:sz="6" w:space="0"/>
              <w:left w:val="single" w:color="000000" w:sz="6" w:space="0"/>
              <w:bottom w:val="single" w:color="000000" w:sz="6" w:space="0"/>
              <w:right w:val="single" w:color="000000" w:sz="6" w:space="0"/>
            </w:tcBorders>
            <w:shd w:val="clear" w:color="auto" w:fill="FFFFFF"/>
            <w:noWrap/>
            <w:tcMar>
              <w:top w:w="75" w:type="dxa"/>
              <w:left w:w="105" w:type="dxa"/>
              <w:bottom w:w="75" w:type="dxa"/>
              <w:right w:w="105" w:type="dxa"/>
            </w:tcMar>
            <w:vAlign w:val="center"/>
          </w:tcPr>
          <w:p w14:paraId="4E20DD10">
            <w:pPr>
              <w:pStyle w:val="3"/>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ind w:left="0" w:leftChars="0" w:right="0" w:rightChars="0" w:firstLine="0" w:firstLineChars="0"/>
              <w:jc w:val="left"/>
              <w:rPr>
                <w:rFonts w:ascii="宋体" w:eastAsia="宋体"/>
                <w:sz w:val="24"/>
              </w:rPr>
            </w:pPr>
            <w:r>
              <w:rPr>
                <w:rFonts w:hint="eastAsia" w:ascii="宋体" w:hAnsi="宋体" w:eastAsia="宋体" w:cs="宋体"/>
                <w:i w:val="0"/>
                <w:iCs w:val="0"/>
                <w:caps w:val="0"/>
                <w:color w:val="333333"/>
                <w:spacing w:val="0"/>
                <w:sz w:val="24"/>
                <w:szCs w:val="24"/>
                <w:bdr w:val="none" w:color="auto" w:sz="0" w:space="0"/>
              </w:rPr>
              <w:t>约束性</w:t>
            </w:r>
          </w:p>
        </w:tc>
      </w:tr>
    </w:tbl>
    <w:p w14:paraId="3EFF70A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注：1.“15+8”产业是指15个战略性产业和8个现代服务业，其中15个战略性产业包括智能网联与新能源汽车、超高清视频与新型显示、生物医药与健康、绿色石化与新材料、软件与互联网、智能装备与机器人6个新兴支柱产业，人工智能、半导体与集成电路、新能源与新型储能、低空经济与航空航天、生物制造5个战略先导产业，以及时尚消费品、轨道交通、船舶与海洋工程、智能建造与工业化建筑4个特色优势产业；8个现代服务业包括现代金融、科技服务、专业服务3个追赶先进类行业，以及现代商贸、物流与供应链、会展、文化创意、旅游休闲5个保持位势类行业。</w:t>
      </w:r>
    </w:p>
    <w:p w14:paraId="02EDC41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 根据《海洋及相关产业分类》（GB/T 20794—2021），海洋生产总值分为三个层级，第一层级是海洋经济核心层，包括海洋渔业、沿海滩涂种植业、海洋水产品加工业、海洋油气业、海洋矿业、海洋盐业、海洋船舶工业、海洋工程装备制造业、海洋化工业、海洋药物和生物制品业、海洋工程建筑业、海洋电力业、海水淡化与综合利用业、海洋交通运输业、海洋旅游业；第二层级是海洋经济支持层，包括海洋科研教育、海洋公共管理服务；第三层级是海洋经济外围层，包含海洋上游相关产业、海洋下游相关产业。</w:t>
      </w:r>
    </w:p>
    <w:p w14:paraId="544EA63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 地表水优良水体比例是指国控、省控断面地表水优良水体比例，“十四五”时期广州国控、省控断面20个，2024年起优良比例已达100%，“十五五”时期国家、省将根据实际情况对广州地表水考核断面进行调整，“地表水优良水体比例”与“十四五”时期相比统计范围发生变化。</w:t>
      </w:r>
    </w:p>
    <w:p w14:paraId="4151237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304D8C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第二篇  坚持产业第一、制造业立市，推动现代化产业体系整体新跃升</w:t>
      </w:r>
    </w:p>
    <w:p w14:paraId="7F7700D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rPr>
          <w:rFonts w:hint="eastAsia" w:ascii="宋体" w:hAnsi="宋体" w:eastAsia="宋体" w:cs="宋体"/>
          <w:i w:val="0"/>
          <w:iCs w:val="0"/>
          <w:caps w:val="0"/>
          <w:color w:val="333333"/>
          <w:spacing w:val="0"/>
          <w:sz w:val="24"/>
          <w:szCs w:val="24"/>
        </w:rPr>
      </w:pPr>
    </w:p>
    <w:p w14:paraId="2802137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坚持把发展经济的着力点放在实体经济上，推动工商并举、深化“两业融合”，做强全国先进制造业基地，加快现代服务业出新出彩，实施重点产业倍增计划，完善重点产业发展布局，重构产业发展新优势，建设具有国际影响力的现代化产业体系。</w:t>
      </w:r>
    </w:p>
    <w:p w14:paraId="1E8D317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130B0E1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第三章  做强全国先进制造业基地</w:t>
      </w:r>
    </w:p>
    <w:p w14:paraId="663715A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6BB7E52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深入推进新型工业化，实施重点产业链“突围工程”</w:t>
      </w:r>
      <w:r>
        <w:rPr>
          <w:rFonts w:hint="eastAsia" w:ascii="宋体" w:hAnsi="宋体" w:eastAsia="宋体" w:cs="宋体"/>
          <w:i w:val="0"/>
          <w:iCs w:val="0"/>
          <w:caps w:val="0"/>
          <w:color w:val="333333"/>
          <w:spacing w:val="0"/>
          <w:sz w:val="15"/>
          <w:szCs w:val="15"/>
          <w:bdr w:val="none" w:color="auto" w:sz="0" w:space="0"/>
          <w:shd w:val="clear" w:fill="FFFFFF"/>
          <w:vertAlign w:val="superscript"/>
        </w:rPr>
        <w:t>16</w:t>
      </w:r>
      <w:r>
        <w:rPr>
          <w:rFonts w:hint="eastAsia" w:ascii="宋体" w:hAnsi="宋体" w:eastAsia="宋体" w:cs="宋体"/>
          <w:i w:val="0"/>
          <w:iCs w:val="0"/>
          <w:caps w:val="0"/>
          <w:color w:val="333333"/>
          <w:spacing w:val="0"/>
          <w:sz w:val="24"/>
          <w:szCs w:val="24"/>
          <w:bdr w:val="none" w:color="auto" w:sz="0" w:space="0"/>
          <w:shd w:val="clear" w:fill="FFFFFF"/>
        </w:rPr>
        <w:t>，推动战略性产业集群提质扩量，加速优势产业迈入全球价值链中高端，形成万亿引领、千亿支撑、百亿跟进的先进制造业集群，重塑“广州制造”新优势。</w:t>
      </w:r>
    </w:p>
    <w:p w14:paraId="60E8A7B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522F2D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全力稳住支柱产业“基本盘”</w:t>
      </w:r>
    </w:p>
    <w:p w14:paraId="4CD44EB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F79FC0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打造万亿级汽车产业集群。聚焦“三横、三纵、三核”</w:t>
      </w:r>
      <w:r>
        <w:rPr>
          <w:rFonts w:hint="eastAsia" w:ascii="宋体" w:hAnsi="宋体" w:eastAsia="宋体" w:cs="宋体"/>
          <w:i w:val="0"/>
          <w:iCs w:val="0"/>
          <w:caps w:val="0"/>
          <w:color w:val="333333"/>
          <w:spacing w:val="0"/>
          <w:sz w:val="15"/>
          <w:szCs w:val="15"/>
          <w:bdr w:val="none" w:color="auto" w:sz="0" w:space="0"/>
          <w:shd w:val="clear" w:fill="FFFFFF"/>
          <w:vertAlign w:val="superscript"/>
        </w:rPr>
        <w:t>17</w:t>
      </w:r>
      <w:r>
        <w:rPr>
          <w:rFonts w:hint="eastAsia" w:ascii="宋体" w:hAnsi="宋体" w:eastAsia="宋体" w:cs="宋体"/>
          <w:i w:val="0"/>
          <w:iCs w:val="0"/>
          <w:caps w:val="0"/>
          <w:color w:val="333333"/>
          <w:spacing w:val="0"/>
          <w:sz w:val="24"/>
          <w:szCs w:val="24"/>
          <w:bdr w:val="none" w:color="auto" w:sz="0" w:space="0"/>
          <w:shd w:val="clear" w:fill="FFFFFF"/>
        </w:rPr>
        <w:t>全力推动汽车产业“弯道超车”。做强整车制造，推动广汽集团创新管理体制机制，强化与战略合作伙伴合作，加强汽车新品研发，充分用好既有产能，进一步提升自主品牌汽车市场竞争力、美誉度；推动新能源汽车新势力企业扩大在穗基地生产规模和业务布局，开展飞行汽车研发与制造；支持合资汽车企业稳住燃油车，加快电动化、智能化转型步伐，融入本土生态、重塑价值优势。做大核心零部件配套，持续提升“三电”系统</w:t>
      </w:r>
      <w:r>
        <w:rPr>
          <w:rFonts w:hint="eastAsia" w:ascii="宋体" w:hAnsi="宋体" w:eastAsia="宋体" w:cs="宋体"/>
          <w:i w:val="0"/>
          <w:iCs w:val="0"/>
          <w:caps w:val="0"/>
          <w:color w:val="333333"/>
          <w:spacing w:val="0"/>
          <w:sz w:val="15"/>
          <w:szCs w:val="15"/>
          <w:bdr w:val="none" w:color="auto" w:sz="0" w:space="0"/>
          <w:shd w:val="clear" w:fill="FFFFFF"/>
          <w:vertAlign w:val="superscript"/>
        </w:rPr>
        <w:t>18</w:t>
      </w:r>
      <w:r>
        <w:rPr>
          <w:rFonts w:hint="eastAsia" w:ascii="宋体" w:hAnsi="宋体" w:eastAsia="宋体" w:cs="宋体"/>
          <w:i w:val="0"/>
          <w:iCs w:val="0"/>
          <w:caps w:val="0"/>
          <w:color w:val="333333"/>
          <w:spacing w:val="0"/>
          <w:sz w:val="24"/>
          <w:szCs w:val="24"/>
          <w:bdr w:val="none" w:color="auto" w:sz="0" w:space="0"/>
          <w:shd w:val="clear" w:fill="FFFFFF"/>
        </w:rPr>
        <w:t>、车规级芯片、智能套件等关键零部件配套能力，推动固态电池、氢燃料电池、智能座舱等新技术研发取得突破，引进一批汽车零部件龙头制造企业。推动智能驾驶头部企业开展自动驾驶高阶技术研发和推广，拓展自动驾驶应用场景。优化汽车产业空间布局，做大做强番禺、南沙、黄埔、花都4个以整车制造为主的汽车产业集群，布局建设增城、白云、从化等一批核心零部件产业园。实施汽车出口跃迁式增长行动，推动车企针对“一带一路”、欧洲重点国家消费者差异化需求，多样化开发新能源汽车品类，加大国际市场布局。力争汽车年产值超1万亿元，零部件制造业和整车制造业产值比提升至0.7:1。</w:t>
      </w:r>
    </w:p>
    <w:p w14:paraId="67439E2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提升电子信息制造产业集群优势地位。做大做强超高清视频与新型显示产业集群，持续扩大高世代显示面板及全柔有源矩阵有机发光二极体（AMOLED）模组生产能力，推动华星光电t8等重大项目建设；增强国家印刷及柔性显示创新中心、国家新型显示技术创新中心创新能力，促进Micro-LED、柔性显示、3D显示、透明显示、激光显示、全息显示等新型显示技术的研发和产业化；加快发展超高清视频，促进5G+4K/8K、虚拟现实（VR）/增强现实（AR）等技术融合应用；大力发展智能眼镜、空中成像屏等智能显示终端。支持黄埔重点发展显示面板、显示模组、关键材料设备等制造环节，推动上下游企业集聚发展。支持增城重点发展上游材料、下游终端应用环节，做大产业规模。支持越秀发展影视内容制作和数字内容生产，打造国内一流、全球知名的超高清视频制作应用示范基地。发展壮大半导体与集成电路产业，加快特色工艺芯片制造、车规级芯片设计、先进封装、第三代半导体等重点领域突破，布局高端数字芯片新赛道，打造国家集成电路产业发展“第三极”核心承载区。加快粤芯四期等重大项目建设。支持黄埔引育高端芯片设计、关键材料设备、先进封装测试企业，打造模拟芯片产业链。支持增城重点发展智能传感器和特色工艺芯片制造。支持南沙打造以宽禁带半导体为特色的产业链集群。</w:t>
      </w:r>
    </w:p>
    <w:p w14:paraId="1865FD5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促进石化产业向精深加工、绿色低碳转型。发挥广石化等龙头企业引领带动作用，谋划建设环广石化千亿级产业集聚区，推进广石化绿色安全技改、生物质航煤等重大项目建设，争取大型外企、央企在穗布局新业务，提升炼化一体化水平。布局市场前景广阔的新材料产业链，重点发展汽车用材料、集成电路和新型显示材料、新能源材料、生物制造材料等赛道，加快金发高性能复合材料、众山新材料智造基地等项目建设，在黄埔、南沙、从化谋划建设新材料专业园区。</w:t>
      </w:r>
    </w:p>
    <w:p w14:paraId="370BFEA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推动时尚消费品产业品牌化、高端化、国际化发展。实施纺织服装、皮具箱包、美妆日化、珠宝首饰、灯光音响、定制家居、食品饮料、智能家电等重点行业“名品方阵”打造行动。深入开展数字化、网络化、智能化、绿色化“四化”改造行动，推广“数字化柔性按需”生产模式与供应模式</w:t>
      </w:r>
      <w:r>
        <w:rPr>
          <w:rFonts w:hint="eastAsia" w:ascii="宋体" w:hAnsi="宋体" w:eastAsia="宋体" w:cs="宋体"/>
          <w:i w:val="0"/>
          <w:iCs w:val="0"/>
          <w:caps w:val="0"/>
          <w:color w:val="333333"/>
          <w:spacing w:val="0"/>
          <w:sz w:val="15"/>
          <w:szCs w:val="15"/>
          <w:bdr w:val="none" w:color="auto" w:sz="0" w:space="0"/>
          <w:shd w:val="clear" w:fill="FFFFFF"/>
          <w:vertAlign w:val="superscript"/>
        </w:rPr>
        <w:t>19</w:t>
      </w:r>
      <w:r>
        <w:rPr>
          <w:rFonts w:hint="eastAsia" w:ascii="宋体" w:hAnsi="宋体" w:eastAsia="宋体" w:cs="宋体"/>
          <w:i w:val="0"/>
          <w:iCs w:val="0"/>
          <w:caps w:val="0"/>
          <w:color w:val="333333"/>
          <w:spacing w:val="0"/>
          <w:sz w:val="24"/>
          <w:szCs w:val="24"/>
          <w:bdr w:val="none" w:color="auto" w:sz="0" w:space="0"/>
          <w:shd w:val="clear" w:fill="FFFFFF"/>
        </w:rPr>
        <w:t>，鼓励龙头企业搭建产业互联网平台，带动产业链上下游高效协同；推动人工智能、大数据与时尚消费品产业深度融合，提升产业研发设计、个性化定制、模块化定制水平，提高“定制之都”影响力。强化品牌塑造，依托天河路—珠江新城等商圈举办时尚展会、时尚发布会、时尚论坛，打造潮流风尚标杆、时尚制造名片，推动时尚消费品产业向中高端迈进，提高“时尚之都”知名度。巩固扩展时尚消费品跨境贸易优势。推动比音勒芬湾区时尚产业总部基地等项目建设。提质升级一批平台载体，打造2—3个国内一流的时尚消费品产业园。</w:t>
      </w:r>
    </w:p>
    <w:tbl>
      <w:tblPr>
        <w:tblW w:w="91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591"/>
        <w:gridCol w:w="8559"/>
      </w:tblGrid>
      <w:tr w14:paraId="5B8A8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rPr>
        <w:tc>
          <w:tcPr>
            <w:tcW w:w="11239"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A01CEE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Style w:val="6"/>
                <w:rFonts w:hint="eastAsia" w:ascii="宋体" w:hAnsi="宋体" w:eastAsia="宋体" w:cs="宋体"/>
                <w:i w:val="0"/>
                <w:iCs w:val="0"/>
                <w:caps w:val="0"/>
                <w:color w:val="333333"/>
                <w:spacing w:val="0"/>
                <w:sz w:val="24"/>
                <w:szCs w:val="24"/>
                <w:bdr w:val="none" w:color="auto" w:sz="0" w:space="0"/>
              </w:rPr>
              <w:t>专栏2  支柱产业发展重点领域、重点平台</w:t>
            </w:r>
          </w:p>
        </w:tc>
      </w:tr>
      <w:tr w14:paraId="174DA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3832026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01</w:t>
            </w:r>
          </w:p>
        </w:tc>
        <w:tc>
          <w:tcPr>
            <w:tcW w:w="849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0DCCE2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汽车</w:t>
            </w:r>
          </w:p>
          <w:p w14:paraId="3F0AB82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重点发展智能汽车、纯电动汽车、混合动力汽车、氢燃料电池汽车整车研发制造，做大智能驾驶、“三电”系统、车规级芯片等关键技术及零部件产业。建设番禺广汽智联新能源汽车产业园、花都汽车电子产业园、黄埔小鹏智能网联汽车生态产业园、南沙黄阁国际汽车城产业园、南沙新能源汽车制造基地、增城开发区零部件产业园、广州民营科技园、从化汽车零部件产业园等。</w:t>
            </w:r>
          </w:p>
        </w:tc>
      </w:tr>
      <w:tr w14:paraId="2C7A3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3CEA95B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02</w:t>
            </w:r>
          </w:p>
        </w:tc>
        <w:tc>
          <w:tcPr>
            <w:tcW w:w="849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8D0136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电子信息</w:t>
            </w:r>
          </w:p>
          <w:p w14:paraId="5E5E7CB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超高清视频及新型显示重点发展面板、镜头、光学元件等核心元器件以及专用设备制造，建设中新广州知识城新一代信息技术创新园、增城新型显示价值创新园、花果山超高清视频产业特色小镇、广州国际媒体港等。</w:t>
            </w:r>
          </w:p>
          <w:p w14:paraId="190CD3C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半导体与集成电路重点围绕高端通用芯片、专用芯片设计，聚焦模拟及数模混合、高端传感器、微机电系统（MEMS）等特色工艺制程芯片，以及第三代半导体开展研发制造，建设黄埔湾区集成电路产业园、增城泛半导体产业园、南沙半导体集成电路产业园等。</w:t>
            </w:r>
          </w:p>
        </w:tc>
      </w:tr>
      <w:tr w14:paraId="4DA6E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1A465BA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03</w:t>
            </w:r>
          </w:p>
        </w:tc>
        <w:tc>
          <w:tcPr>
            <w:tcW w:w="849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3BDDA3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绿色石化与新材料</w:t>
            </w:r>
          </w:p>
          <w:p w14:paraId="7AFA648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重点发展绿色石化、先进高分子材料、新能源材料、汽车用材料、生物医用材料。建设广州石化基地、增城高端电子信息新材料产业园、广州华南新材料创新园、南沙小虎岛化工园等。</w:t>
            </w:r>
          </w:p>
        </w:tc>
      </w:tr>
      <w:tr w14:paraId="34E45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24C9625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04</w:t>
            </w:r>
          </w:p>
        </w:tc>
        <w:tc>
          <w:tcPr>
            <w:tcW w:w="849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B5D47E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时尚消费品</w:t>
            </w:r>
          </w:p>
          <w:p w14:paraId="7E18E3B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重点发展纺织服装、皮具箱包、美妆日化、珠宝首饰、灯光音响、定制家居、食品饮料、智能家电等产业。建设白云“白云美湾”、花都“中国美都”、黄埔“南方美谷”、从化“湾区美谷”，以及花都狮岭皮革皮具跨境贸易小镇、增城新塘牛仔服装智能制造示范基地、从化明珠工业园、番禺钻汇时尚产业园、番禺现代数智时尚产业园、海珠TIT创意园等。</w:t>
            </w:r>
          </w:p>
        </w:tc>
      </w:tr>
    </w:tbl>
    <w:p w14:paraId="372ECDC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845690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积极打造新兴产业“增长盘”</w:t>
      </w:r>
    </w:p>
    <w:p w14:paraId="000DC09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33F7A0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打造全球领先的空天强市。低空经济重点发展电动垂直起降飞行器（eVTOL）、飞行汽车、无人机等优势赛道，发挥整机制造龙头企业带动作用，推进粤港澳大湾区空天智造基地等平台建设，加强与全国头部企业合作，推动上下游企业集聚，增强本地化配套。依托广东空天科技研究院、广电计量、工信部电子五所等，做强低空研发设计、检测认证、试飞测试等高附加值生产性服务业环节，支持广州适航审定分中心能力提升，加强新型航空器适航审定服务，打造粤港澳大湾区空天公共技术服务高地。打造融合通信、导航、监视、气象、反制、算力为一体的低空智联网，推进粤港澳大湾区低空综合枢纽、“1+3+N”低空飞行营地</w:t>
      </w:r>
      <w:r>
        <w:rPr>
          <w:rFonts w:hint="eastAsia" w:ascii="宋体" w:hAnsi="宋体" w:eastAsia="宋体" w:cs="宋体"/>
          <w:i w:val="0"/>
          <w:iCs w:val="0"/>
          <w:caps w:val="0"/>
          <w:color w:val="333333"/>
          <w:spacing w:val="0"/>
          <w:sz w:val="15"/>
          <w:szCs w:val="15"/>
          <w:bdr w:val="none" w:color="auto" w:sz="0" w:space="0"/>
          <w:shd w:val="clear" w:fill="FFFFFF"/>
          <w:vertAlign w:val="superscript"/>
        </w:rPr>
        <w:t>20</w:t>
      </w:r>
      <w:r>
        <w:rPr>
          <w:rFonts w:hint="eastAsia" w:ascii="宋体" w:hAnsi="宋体" w:eastAsia="宋体" w:cs="宋体"/>
          <w:i w:val="0"/>
          <w:iCs w:val="0"/>
          <w:caps w:val="0"/>
          <w:color w:val="333333"/>
          <w:spacing w:val="0"/>
          <w:sz w:val="24"/>
          <w:szCs w:val="24"/>
          <w:bdr w:val="none" w:color="auto" w:sz="0" w:space="0"/>
          <w:shd w:val="clear" w:fill="FFFFFF"/>
        </w:rPr>
        <w:t>等设施建设，构建地面空天地一体、软硬协同的基础设施体系，加快发展监视反制等低空安全产业。推动“低空+”场景在物流运输、应急救援、文化旅游、城市治理、农林植保、城市交通等领域应用推广。加强穗港低空经济科技和产业合作，共同拓展中东、东南亚等地市场，打造“广州造、经港澳、卖全球”低空经济品牌。在黄埔、增城、南沙布局建设低空经济核心承载区。航空产业以整机和核心零部件运维需求为牵引，布局建设民用大飞机运营保障基地，谋划发展零部件及模拟机制造产业，推动航空产业链向零部件制造等高附加值环节延伸。持续做大航空租赁、航材贸易等航空服务业。在花都、白云、空港经济区布局建设航空经济核心承载区。商业航天产业培育壮大整箭制造龙头企业，推进液体火箭及可回收技术等核心技术攻关，推动核心零部件、总成等企业加速集聚，完善火箭制造产业生态。发挥北斗产业生态优势，强化低轨卫星、卫星互联网和地面设备制造能力，引育整星制造、星上载荷领军企业，集聚一批卫星及应用芯片设计、卫星终端研制、通信系统研发、智能卫星开发、卫星运营等上下游企业。在南沙、黄埔、从化布局建设商业航天核心承载区。</w:t>
      </w:r>
    </w:p>
    <w:p w14:paraId="291F840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打造世界级创新型生物医药产业集群。重点在创新药械领域实现突破，以生物医药产业带动大健康产业发展。大力发展生物药、化学药、现代中药，推进抗体药物、抗肿瘤创新药物等一批医药生产基地建设。全链条支持创新药发展，健全创新药研发、审评审批、产业化、入院应用、多元支付等政策支持体系。做大做强高端医疗器械产业，重点发展体外诊断器械、心脑血管诊疗器械、影像诊断装备和骨科矫形器械等高端医疗器械，依托粤港澳大湾区高性能医疗器械创新中心、广州医疗器械检验中心等平台，推进医用机器人、高端医学影像设备、人工智能医疗器械等领域创新。培育壮大细胞和基因治疗</w:t>
      </w:r>
      <w:r>
        <w:rPr>
          <w:rFonts w:hint="eastAsia" w:ascii="宋体" w:hAnsi="宋体" w:eastAsia="宋体" w:cs="宋体"/>
          <w:i w:val="0"/>
          <w:iCs w:val="0"/>
          <w:caps w:val="0"/>
          <w:color w:val="333333"/>
          <w:spacing w:val="0"/>
          <w:sz w:val="15"/>
          <w:szCs w:val="15"/>
          <w:bdr w:val="none" w:color="auto" w:sz="0" w:space="0"/>
          <w:shd w:val="clear" w:fill="FFFFFF"/>
          <w:vertAlign w:val="superscript"/>
        </w:rPr>
        <w:t>21</w:t>
      </w:r>
      <w:r>
        <w:rPr>
          <w:rFonts w:hint="eastAsia" w:ascii="宋体" w:hAnsi="宋体" w:eastAsia="宋体" w:cs="宋体"/>
          <w:i w:val="0"/>
          <w:iCs w:val="0"/>
          <w:caps w:val="0"/>
          <w:color w:val="333333"/>
          <w:spacing w:val="0"/>
          <w:sz w:val="24"/>
          <w:szCs w:val="24"/>
          <w:bdr w:val="none" w:color="auto" w:sz="0" w:space="0"/>
          <w:shd w:val="clear" w:fill="FFFFFF"/>
        </w:rPr>
        <w:t>等未来产业，用好南沙细胞和基因治疗先行先试政策，布局建设区域细胞制备中心，吸引细胞和基因治疗企业集聚发展。前瞻布局核医疗</w:t>
      </w:r>
      <w:r>
        <w:rPr>
          <w:rFonts w:hint="eastAsia" w:ascii="宋体" w:hAnsi="宋体" w:eastAsia="宋体" w:cs="宋体"/>
          <w:i w:val="0"/>
          <w:iCs w:val="0"/>
          <w:caps w:val="0"/>
          <w:color w:val="333333"/>
          <w:spacing w:val="0"/>
          <w:sz w:val="15"/>
          <w:szCs w:val="15"/>
          <w:bdr w:val="none" w:color="auto" w:sz="0" w:space="0"/>
          <w:shd w:val="clear" w:fill="FFFFFF"/>
          <w:vertAlign w:val="superscript"/>
        </w:rPr>
        <w:t>22</w:t>
      </w:r>
      <w:r>
        <w:rPr>
          <w:rFonts w:hint="eastAsia" w:ascii="宋体" w:hAnsi="宋体" w:eastAsia="宋体" w:cs="宋体"/>
          <w:i w:val="0"/>
          <w:iCs w:val="0"/>
          <w:caps w:val="0"/>
          <w:color w:val="333333"/>
          <w:spacing w:val="0"/>
          <w:sz w:val="24"/>
          <w:szCs w:val="24"/>
          <w:bdr w:val="none" w:color="auto" w:sz="0" w:space="0"/>
          <w:shd w:val="clear" w:fill="FFFFFF"/>
        </w:rPr>
        <w:t>产业，重点发展医用同位素</w:t>
      </w:r>
      <w:r>
        <w:rPr>
          <w:rFonts w:hint="eastAsia" w:ascii="宋体" w:hAnsi="宋体" w:eastAsia="宋体" w:cs="宋体"/>
          <w:i w:val="0"/>
          <w:iCs w:val="0"/>
          <w:caps w:val="0"/>
          <w:color w:val="333333"/>
          <w:spacing w:val="0"/>
          <w:sz w:val="15"/>
          <w:szCs w:val="15"/>
          <w:bdr w:val="none" w:color="auto" w:sz="0" w:space="0"/>
          <w:shd w:val="clear" w:fill="FFFFFF"/>
          <w:vertAlign w:val="superscript"/>
        </w:rPr>
        <w:t>23</w:t>
      </w:r>
      <w:r>
        <w:rPr>
          <w:rFonts w:hint="eastAsia" w:ascii="宋体" w:hAnsi="宋体" w:eastAsia="宋体" w:cs="宋体"/>
          <w:i w:val="0"/>
          <w:iCs w:val="0"/>
          <w:caps w:val="0"/>
          <w:color w:val="333333"/>
          <w:spacing w:val="0"/>
          <w:sz w:val="24"/>
          <w:szCs w:val="24"/>
          <w:bdr w:val="none" w:color="auto" w:sz="0" w:space="0"/>
          <w:shd w:val="clear" w:fill="FFFFFF"/>
        </w:rPr>
        <w:t>制备供应、放射性新药研发生产、高端诊疗装备制造等关键环节，培育引进一批龙头企业和专精特新企业，壮大一批具有全国影响力的核医疗机构，提升核医疗诊疗技术水平。推动人工智能大模型与生物医药技术联动发展，加快建设医疗领域国家人工智能中试基地、广州实验室中国数字肺、大湾区生物信息中心等项目，打造“人工智能+生物医药”融合发展高地。</w:t>
      </w:r>
    </w:p>
    <w:p w14:paraId="1CAC2CA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推动人工智能产业跻身全国第一方阵。广泛实施“人工智能+”行动，推动人工智能与经济社会各行业各领域深度融合，努力成为国家人工智能发展战略的成果转化试验田、产业应用示范区、国际合作桥头堡。聚焦工业智造、综合交通、医药健康、能源环保、现代服务、城市治理等重点应用领域，大力发展多模态大模型</w:t>
      </w:r>
      <w:r>
        <w:rPr>
          <w:rFonts w:hint="eastAsia" w:ascii="宋体" w:hAnsi="宋体" w:eastAsia="宋体" w:cs="宋体"/>
          <w:i w:val="0"/>
          <w:iCs w:val="0"/>
          <w:caps w:val="0"/>
          <w:color w:val="333333"/>
          <w:spacing w:val="0"/>
          <w:sz w:val="15"/>
          <w:szCs w:val="15"/>
          <w:bdr w:val="none" w:color="auto" w:sz="0" w:space="0"/>
          <w:shd w:val="clear" w:fill="FFFFFF"/>
          <w:vertAlign w:val="superscript"/>
        </w:rPr>
        <w:t>24</w:t>
      </w:r>
      <w:r>
        <w:rPr>
          <w:rFonts w:hint="eastAsia" w:ascii="宋体" w:hAnsi="宋体" w:eastAsia="宋体" w:cs="宋体"/>
          <w:i w:val="0"/>
          <w:iCs w:val="0"/>
          <w:caps w:val="0"/>
          <w:color w:val="333333"/>
          <w:spacing w:val="0"/>
          <w:sz w:val="24"/>
          <w:szCs w:val="24"/>
          <w:bdr w:val="none" w:color="auto" w:sz="0" w:space="0"/>
          <w:shd w:val="clear" w:fill="FFFFFF"/>
        </w:rPr>
        <w:t>、垂类大模型</w:t>
      </w:r>
      <w:r>
        <w:rPr>
          <w:rFonts w:hint="eastAsia" w:ascii="宋体" w:hAnsi="宋体" w:eastAsia="宋体" w:cs="宋体"/>
          <w:i w:val="0"/>
          <w:iCs w:val="0"/>
          <w:caps w:val="0"/>
          <w:color w:val="333333"/>
          <w:spacing w:val="0"/>
          <w:sz w:val="15"/>
          <w:szCs w:val="15"/>
          <w:bdr w:val="none" w:color="auto" w:sz="0" w:space="0"/>
          <w:shd w:val="clear" w:fill="FFFFFF"/>
          <w:vertAlign w:val="superscript"/>
        </w:rPr>
        <w:t>25</w:t>
      </w:r>
      <w:r>
        <w:rPr>
          <w:rFonts w:hint="eastAsia" w:ascii="宋体" w:hAnsi="宋体" w:eastAsia="宋体" w:cs="宋体"/>
          <w:i w:val="0"/>
          <w:iCs w:val="0"/>
          <w:caps w:val="0"/>
          <w:color w:val="333333"/>
          <w:spacing w:val="0"/>
          <w:sz w:val="24"/>
          <w:szCs w:val="24"/>
          <w:bdr w:val="none" w:color="auto" w:sz="0" w:space="0"/>
          <w:shd w:val="clear" w:fill="FFFFFF"/>
        </w:rPr>
        <w:t>和智能体</w:t>
      </w:r>
      <w:r>
        <w:rPr>
          <w:rFonts w:hint="eastAsia" w:ascii="宋体" w:hAnsi="宋体" w:eastAsia="宋体" w:cs="宋体"/>
          <w:i w:val="0"/>
          <w:iCs w:val="0"/>
          <w:caps w:val="0"/>
          <w:color w:val="333333"/>
          <w:spacing w:val="0"/>
          <w:sz w:val="15"/>
          <w:szCs w:val="15"/>
          <w:bdr w:val="none" w:color="auto" w:sz="0" w:space="0"/>
          <w:shd w:val="clear" w:fill="FFFFFF"/>
          <w:vertAlign w:val="superscript"/>
        </w:rPr>
        <w:t>26</w:t>
      </w:r>
      <w:r>
        <w:rPr>
          <w:rFonts w:hint="eastAsia" w:ascii="宋体" w:hAnsi="宋体" w:eastAsia="宋体" w:cs="宋体"/>
          <w:i w:val="0"/>
          <w:iCs w:val="0"/>
          <w:caps w:val="0"/>
          <w:color w:val="333333"/>
          <w:spacing w:val="0"/>
          <w:sz w:val="24"/>
          <w:szCs w:val="24"/>
          <w:bdr w:val="none" w:color="auto" w:sz="0" w:space="0"/>
          <w:shd w:val="clear" w:fill="FFFFFF"/>
        </w:rPr>
        <w:t>，培育一批“人工智能+行业”解决方案企业和智能体应用服务商，打造“垂类模型之都”。加强智能穿戴、智能家居、健康与医疗设备、服务型机器人等智能终端产品研发生产布局，将“人工智能+机器人”打造成为高技术、高成长、大体量的产业集群。加快建设国家人工智能应用中试基地，围绕医疗、能源等领域，搭建行业应用共性技术平台，提供技术验证、场景测试、产品孵化、应用推广等服务。鼓励龙头企业、高校院所、新型研发机构等合作创建人工智能创新平台，攻坚核心算法、操作系统、高端芯片等关键核心技术。支持琶洲算法大赛</w:t>
      </w:r>
      <w:r>
        <w:rPr>
          <w:rFonts w:hint="eastAsia" w:ascii="宋体" w:hAnsi="宋体" w:eastAsia="宋体" w:cs="宋体"/>
          <w:i w:val="0"/>
          <w:iCs w:val="0"/>
          <w:caps w:val="0"/>
          <w:color w:val="333333"/>
          <w:spacing w:val="0"/>
          <w:sz w:val="15"/>
          <w:szCs w:val="15"/>
          <w:bdr w:val="none" w:color="auto" w:sz="0" w:space="0"/>
          <w:shd w:val="clear" w:fill="FFFFFF"/>
          <w:vertAlign w:val="superscript"/>
        </w:rPr>
        <w:t>27</w:t>
      </w:r>
      <w:r>
        <w:rPr>
          <w:rFonts w:hint="eastAsia" w:ascii="宋体" w:hAnsi="宋体" w:eastAsia="宋体" w:cs="宋体"/>
          <w:i w:val="0"/>
          <w:iCs w:val="0"/>
          <w:caps w:val="0"/>
          <w:color w:val="333333"/>
          <w:spacing w:val="0"/>
          <w:sz w:val="24"/>
          <w:szCs w:val="24"/>
          <w:bdr w:val="none" w:color="auto" w:sz="0" w:space="0"/>
          <w:shd w:val="clear" w:fill="FFFFFF"/>
        </w:rPr>
        <w:t>打造算法“世界杯”，扩大人工智能算法赛事国际影响力。依托真实场景布局沉浸式人工智能应用场，为技术创新提供“首试验、首应用、首展示、首体验”的真实交互共创空间。滚动发布重点领域应用场景机会清单，通过线下“人工智能+”应用供需对接活动和线上人工智能产业服务平台加速供需精准匹配，积极推动本地场景机会和全球应用创新的供需对接、产品研发，打造全球领先的人工智能场景创新开放合作区。</w:t>
      </w:r>
    </w:p>
    <w:p w14:paraId="13123B4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提升新能源与新型储能产业核心竞争力。统筹推进科技创新、装备设备制造、技术服务、开发利用等环节，打造大湾区新能源与新型储能产业制高点。发挥南方电网供应链优势，吸引高水平电力装备生产企业集聚。推动氢能“制储输用”全链条发展，布局新型制氢项目，突破先进储氢技术，成体系推进加氢站建设，加快燃料电池汽车在物流、冷链、公交、环卫、建筑废弃物运输、专用车等领域规模化应用，拓展氢能在电力、无人机等领域应用。建好用好国家新型储能制造业创新中心，支持开发超长寿命、高安全性储能锂离子电池，加强钠离子电池等技术攻关。发展分布式光伏发电，推进花都、从化“光伏+建筑”应用试点建设。支持可控核聚变领域相关科学研究与技术开发。</w:t>
      </w:r>
    </w:p>
    <w:p w14:paraId="72D3235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发展壮大轨道交通产业。着力提升整车制造、盾构机制造、供电系统、信号系统等关键装备研发和制造水平，巩固规划设计、运营维护领先优势，延伸发展以公共交通为导向的开发（TOD）、检验检测认证、咨询培训等高端增值服务，打造世界级综合性轨道交通产业集群。谋划磁悬浮、氢能源列车等新型整车项目。依托新线建设和旧线改造，开展变径盾构、柔直供电、智慧维保等关键核心技术攻关，加大自主创新产品推广应用。推进城轨安全与运维国家工程研究中心等创新平台建设，提升产业创新能力。推动形成以白云为核心，花都、番禺、南沙为重点的轨道交通产业布局，促进产业集群集聚发展。实施轨道交通“走出去”战略，支持企业拓展境外市场，实现技术、标准、装备、服务、资本、品牌一体化输出，提升广州轨道交通产业品牌全球影响力。</w:t>
      </w:r>
    </w:p>
    <w:p w14:paraId="406684E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提质升级智能装备与机器人产业。围绕汽车、航空、新能源等重点产业需求，推动工业母机、智能机器人、精密仪器等高端装备研发突破与产业化。发展高度自动化、智能化的关键装备系统，提升智能制造水平。支持重点产业链上下游企业、高校、科研院所共建高端装备可靠性试验验证、标准验证与检测、计量检测等公共服务平台。围绕电子制造装备、增材制造等新兴装备领域构建完整产业链，聚焦数控机床、服务机器人补齐产业链薄弱环节。加快番禺里工实业具身智造基地、南沙深海智人制造基地、花都蓝海机器人总部基地等项目建设。</w:t>
      </w:r>
    </w:p>
    <w:p w14:paraId="3F72256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提高船舶与海洋工程装备产业现代化水平。大力发展超大型集装箱船、中小型邮轮游艇等高附加值船型，增强高端海工装备研发、设计和建造能力。推进南沙龙穴造船基地建设，发挥广船国际等龙头企业带动作用，吸引产业链上下游企业集聚，提升核心零部件、核心装备本地化配套能力和生产规模。依托广东腐蚀科学与技术创新研究院、广东智能无人系统研究院、广船国际海洋科学研究院等创新平台，开展智能船舶、绿色船舶等前沿技术研究，重点突破发展动力系统、电气系统、通讯导航系统、智能系统等技术，推动船舶与海洋工程装备智能化、无人化发展。</w:t>
      </w:r>
    </w:p>
    <w:tbl>
      <w:tblPr>
        <w:tblW w:w="90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609"/>
        <w:gridCol w:w="8391"/>
      </w:tblGrid>
      <w:tr w14:paraId="7FDD2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rPr>
          <w:trHeight w:val="0" w:hRule="atLeast"/>
        </w:trPr>
        <w:tc>
          <w:tcPr>
            <w:tcW w:w="11239"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2647D0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Style w:val="6"/>
                <w:rFonts w:hint="eastAsia" w:ascii="宋体" w:hAnsi="宋体" w:eastAsia="宋体" w:cs="宋体"/>
                <w:i w:val="0"/>
                <w:iCs w:val="0"/>
                <w:caps w:val="0"/>
                <w:color w:val="333333"/>
                <w:spacing w:val="0"/>
                <w:sz w:val="24"/>
                <w:szCs w:val="24"/>
                <w:bdr w:val="none" w:color="auto" w:sz="0" w:space="0"/>
              </w:rPr>
              <w:t>专栏3 新兴产业发展重点领域、重点平台</w:t>
            </w:r>
          </w:p>
        </w:tc>
      </w:tr>
      <w:tr w14:paraId="1C0D9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rPr>
          <w:trHeight w:val="0" w:hRule="atLeast"/>
        </w:trPr>
        <w:tc>
          <w:tcPr>
            <w:tcW w:w="69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4B18B07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01</w:t>
            </w:r>
          </w:p>
        </w:tc>
        <w:tc>
          <w:tcPr>
            <w:tcW w:w="83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52229B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低空经济与航空航天</w:t>
            </w:r>
          </w:p>
          <w:p w14:paraId="5E9E4B4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低空经济重点发展电动垂直起降飞行器（eVTOL）、飞行汽车、无人机等领域。建设南沙全空间无人体系示范基地、广州低空产业生态城（增城）、黄埔低空装备智造园、天河智慧城低空产业集聚区等，建设海珠低空经济综合应用场景。</w:t>
            </w:r>
          </w:p>
          <w:p w14:paraId="029499E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航空产业重点发展航空维修、航空零部件制造、模拟机制造等领域。建设国家临空经济示范区等。</w:t>
            </w:r>
          </w:p>
          <w:p w14:paraId="15512A2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商业航天产业重点发展火箭制造、低轨卫星、卫星互联网等领域。建设中科宇航产业化基地、广州航天小镇等。</w:t>
            </w:r>
          </w:p>
        </w:tc>
      </w:tr>
      <w:tr w14:paraId="18F27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9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7A8CC95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02</w:t>
            </w:r>
          </w:p>
        </w:tc>
        <w:tc>
          <w:tcPr>
            <w:tcW w:w="83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0A4C7D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生物医药</w:t>
            </w:r>
          </w:p>
          <w:p w14:paraId="45500E1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重点发展生物药、化学药、现代中药和高端医疗器械，培育发展细胞与基因治疗、核医疗等领域。建设广州国际生物岛、中新广州知识城国际生物医药价值创新园、广东医谷·南沙生命科学园、中大国际药谷产业园、大坦沙国际健康生态岛、天河生命谷、广州荔湾产业园区、广东医疗机构制剂产业制造中心、越秀粤港澳大湾区生命健康产业创新区、番禺国际高端医用同位素产业基地、从化粤港澳大湾区生物医药产业创新平台等。</w:t>
            </w:r>
          </w:p>
        </w:tc>
      </w:tr>
      <w:tr w14:paraId="3E49D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9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59EACC5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03</w:t>
            </w:r>
          </w:p>
        </w:tc>
        <w:tc>
          <w:tcPr>
            <w:tcW w:w="83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CB80F2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人工智能</w:t>
            </w:r>
          </w:p>
          <w:p w14:paraId="684ACDB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重点发展垂类大模型、智能体、智能终端等领域。建设琶洲人工智能大模型创新应用先行区、中国人工智能（广州）产业园、红专厂等。</w:t>
            </w:r>
          </w:p>
        </w:tc>
      </w:tr>
      <w:tr w14:paraId="3F5B0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9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4C6EF2B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04</w:t>
            </w:r>
          </w:p>
        </w:tc>
        <w:tc>
          <w:tcPr>
            <w:tcW w:w="83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99988C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新能源与新型储能</w:t>
            </w:r>
          </w:p>
          <w:p w14:paraId="20DF5C9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重点发展智能电网、新型储能、氢能、光伏等领域。建设黄埔氢能产业创新核心区、白云氢能产业基地、白云空港新型储能产业园、黄埔新型储能产业园、花都新型储能产业园等。</w:t>
            </w:r>
          </w:p>
        </w:tc>
      </w:tr>
      <w:tr w14:paraId="34CF1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9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437B5A9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05</w:t>
            </w:r>
          </w:p>
        </w:tc>
        <w:tc>
          <w:tcPr>
            <w:tcW w:w="83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7DD5E2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轨道交通</w:t>
            </w:r>
          </w:p>
          <w:p w14:paraId="5714C2C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重点发展轨道交通关键技术研发、设计咨询、工程施工、零部件及配套设备、新制式整车、智慧轨交、检验检测、运营服务、以公共交通为导向的综合开发（TOD）、维保服务、教育培训等领域。建设广州轨道交通装备产业园、白云新城轨道交通总部基地、番禺轨道交通装备修造基地、花都广州和谐型大功率机车修造基地等。</w:t>
            </w:r>
          </w:p>
        </w:tc>
      </w:tr>
      <w:tr w14:paraId="66B10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9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1F21788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06</w:t>
            </w:r>
          </w:p>
        </w:tc>
        <w:tc>
          <w:tcPr>
            <w:tcW w:w="83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F5E657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智能装备与机器人</w:t>
            </w:r>
          </w:p>
          <w:p w14:paraId="2F3880C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重点发展工业母机、工业机器人、服务机器人、智能成套装备、精密仪器等领域。培育番禺高端装备智造、南沙高端装备等特色标杆工业园，完善荔湾3D打印产业园、白云机器人产业园、南沙大岗先进制造业基地等园区配套。</w:t>
            </w:r>
          </w:p>
        </w:tc>
      </w:tr>
      <w:tr w14:paraId="345D5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9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3ECCF65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07</w:t>
            </w:r>
          </w:p>
        </w:tc>
        <w:tc>
          <w:tcPr>
            <w:tcW w:w="83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857799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船舶与海洋工程</w:t>
            </w:r>
          </w:p>
          <w:p w14:paraId="02CCDD3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重点发展超大型集装箱船、中小型邮轮游艇、高端海工装备等高附加值领域，培育发展智能船舶、绿色船舶等前沿领域。建设南沙船舶与海洋工程高端装备配套产业园等。</w:t>
            </w:r>
          </w:p>
        </w:tc>
      </w:tr>
    </w:tbl>
    <w:p w14:paraId="38B0B56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推动其他新兴产业加快发展。提升软件与互联网产业发展能级，巩固提升工业软件优势，支持基础软件、工业软件、信息安全软件、信创软件等首版次软件产品研发。构筑开源开放软件生态，创建广东省开源鸿蒙适配中心。提质升级天河软件园，打造海珠、黄埔、番禺、白云等特色软件园，建强用好粤港澳大湾区国家技术创新中心工业软件产业发展中心，推动广东省工业软件创新中心建设，擦亮“中国软件名城”招牌。创建广东省多智能体协同系统创新中心，拓展基于5G的应用场景和产业生态，完善以5G为核心的信息通信产业链，加快发展工业互联网</w:t>
      </w:r>
      <w:r>
        <w:rPr>
          <w:rFonts w:hint="eastAsia" w:ascii="宋体" w:hAnsi="宋体" w:eastAsia="宋体" w:cs="宋体"/>
          <w:i w:val="0"/>
          <w:iCs w:val="0"/>
          <w:caps w:val="0"/>
          <w:color w:val="333333"/>
          <w:spacing w:val="0"/>
          <w:sz w:val="15"/>
          <w:szCs w:val="15"/>
          <w:bdr w:val="none" w:color="auto" w:sz="0" w:space="0"/>
          <w:shd w:val="clear" w:fill="FFFFFF"/>
          <w:vertAlign w:val="superscript"/>
        </w:rPr>
        <w:t>28</w:t>
      </w:r>
      <w:r>
        <w:rPr>
          <w:rFonts w:hint="eastAsia" w:ascii="宋体" w:hAnsi="宋体" w:eastAsia="宋体" w:cs="宋体"/>
          <w:i w:val="0"/>
          <w:iCs w:val="0"/>
          <w:caps w:val="0"/>
          <w:color w:val="333333"/>
          <w:spacing w:val="0"/>
          <w:sz w:val="24"/>
          <w:szCs w:val="24"/>
          <w:bdr w:val="none" w:color="auto" w:sz="0" w:space="0"/>
          <w:shd w:val="clear" w:fill="FFFFFF"/>
        </w:rPr>
        <w:t>、物联网等。大力发展智能建造与工业化建筑产业，夯实数字设计基础，重点发展智能生产和智能施工，促进装配式装修和智能家居融合提档升级，培育壮大一批智能建造领域龙头企业。促进智能建造与新型建筑工业化协同发展，推动新型造楼机、建筑机器人、装配式建筑、模块化集成建筑等新型建造方式和技术在城中村改造、保障性住房、危旧房屋原拆原建等场景中广泛应用。建设增城湾区智能建造产业园，聚焦建筑机器人研发、智能建造装备制造及模块化建筑生产，打造华南地区智能化程度最高的建筑装备制造基地。推动智能建造与港澳技术标准互认、产业资源互通，形成开放协同的产业生态圈。加快发展生物制造产业，做强生物基材料</w:t>
      </w:r>
      <w:r>
        <w:rPr>
          <w:rFonts w:hint="eastAsia" w:ascii="宋体" w:hAnsi="宋体" w:eastAsia="宋体" w:cs="宋体"/>
          <w:i w:val="0"/>
          <w:iCs w:val="0"/>
          <w:caps w:val="0"/>
          <w:color w:val="333333"/>
          <w:spacing w:val="0"/>
          <w:sz w:val="15"/>
          <w:szCs w:val="15"/>
          <w:bdr w:val="none" w:color="auto" w:sz="0" w:space="0"/>
          <w:shd w:val="clear" w:fill="FFFFFF"/>
          <w:vertAlign w:val="superscript"/>
        </w:rPr>
        <w:t>29</w:t>
      </w:r>
      <w:r>
        <w:rPr>
          <w:rFonts w:hint="eastAsia" w:ascii="宋体" w:hAnsi="宋体" w:eastAsia="宋体" w:cs="宋体"/>
          <w:i w:val="0"/>
          <w:iCs w:val="0"/>
          <w:caps w:val="0"/>
          <w:color w:val="333333"/>
          <w:spacing w:val="0"/>
          <w:sz w:val="24"/>
          <w:szCs w:val="24"/>
          <w:bdr w:val="none" w:color="auto" w:sz="0" w:space="0"/>
          <w:shd w:val="clear" w:fill="FFFFFF"/>
        </w:rPr>
        <w:t>生产制造和应用服务。建立生物基化学品的绿色生物制造新工艺，重点推进生物基塑料、生物基涂料和生物基化妆品等产品迭代，推动高端化妆品原料、医学美容、再生医学产品、保健品等产业化和应用推广。围绕生物肥料、生物饲料、微生物农药等领域，推动绿色农业和食品产品研发与产业化；开展微生物蛋白、植物基肉</w:t>
      </w:r>
      <w:r>
        <w:rPr>
          <w:rFonts w:hint="eastAsia" w:ascii="宋体" w:hAnsi="宋体" w:eastAsia="宋体" w:cs="宋体"/>
          <w:i w:val="0"/>
          <w:iCs w:val="0"/>
          <w:caps w:val="0"/>
          <w:color w:val="333333"/>
          <w:spacing w:val="0"/>
          <w:sz w:val="15"/>
          <w:szCs w:val="15"/>
          <w:bdr w:val="none" w:color="auto" w:sz="0" w:space="0"/>
          <w:shd w:val="clear" w:fill="FFFFFF"/>
          <w:vertAlign w:val="superscript"/>
        </w:rPr>
        <w:t>30</w:t>
      </w:r>
      <w:r>
        <w:rPr>
          <w:rFonts w:hint="eastAsia" w:ascii="宋体" w:hAnsi="宋体" w:eastAsia="宋体" w:cs="宋体"/>
          <w:i w:val="0"/>
          <w:iCs w:val="0"/>
          <w:caps w:val="0"/>
          <w:color w:val="333333"/>
          <w:spacing w:val="0"/>
          <w:sz w:val="24"/>
          <w:szCs w:val="24"/>
          <w:bdr w:val="none" w:color="auto" w:sz="0" w:space="0"/>
          <w:shd w:val="clear" w:fill="FFFFFF"/>
        </w:rPr>
        <w:t>、细胞培养肉</w:t>
      </w:r>
      <w:r>
        <w:rPr>
          <w:rFonts w:hint="eastAsia" w:ascii="宋体" w:hAnsi="宋体" w:eastAsia="宋体" w:cs="宋体"/>
          <w:i w:val="0"/>
          <w:iCs w:val="0"/>
          <w:caps w:val="0"/>
          <w:color w:val="333333"/>
          <w:spacing w:val="0"/>
          <w:sz w:val="15"/>
          <w:szCs w:val="15"/>
          <w:bdr w:val="none" w:color="auto" w:sz="0" w:space="0"/>
          <w:shd w:val="clear" w:fill="FFFFFF"/>
          <w:vertAlign w:val="superscript"/>
        </w:rPr>
        <w:t>31</w:t>
      </w:r>
      <w:r>
        <w:rPr>
          <w:rFonts w:hint="eastAsia" w:ascii="宋体" w:hAnsi="宋体" w:eastAsia="宋体" w:cs="宋体"/>
          <w:i w:val="0"/>
          <w:iCs w:val="0"/>
          <w:caps w:val="0"/>
          <w:color w:val="333333"/>
          <w:spacing w:val="0"/>
          <w:sz w:val="24"/>
          <w:szCs w:val="24"/>
          <w:bdr w:val="none" w:color="auto" w:sz="0" w:space="0"/>
          <w:shd w:val="clear" w:fill="FFFFFF"/>
        </w:rPr>
        <w:t>等技术的源头创新和科技攻关，发展运动饮料、植物饮料、保健啤酒等功能饮料。拓展生物能源环保领域下游应用服务环节，因地制宜推进生物能源产品的多元化开发与多场景应用，推进先进生物技术在环境领域的融合应用。</w:t>
      </w:r>
    </w:p>
    <w:p w14:paraId="53851EC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CF8BF2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第三节  前瞻布局未来产业“潜力盘”</w:t>
      </w:r>
    </w:p>
    <w:p w14:paraId="01BCA9E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E13F98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培育壮大具身智能产业。强化具身智能机器人“智慧大脑”（高阶认知与决策）、“精密小脑”（实时运动与精细控制）、“灵活肢体”（先进驱动与可靠本体）、“操作系统”（全栈自主与系统集成）研发攻关。完善具身智能机器人整机、零部件企业梯度培育机制，推动传统机器人企业转型升级。建立健全具身智能机器人数据采集与共享机制，支持广东省具身智能训练场及细分领域训练场建设。聚焦公共服务、工业及特种作业、居家养老等领域，打造一批优质场景，推动产业园区、企事业单位、公共服务和商业场所开放应用。</w:t>
      </w:r>
    </w:p>
    <w:p w14:paraId="165172B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布局发展前沿新材料产业。培育发展新型半导体材料、电子新材料、先进金属材料、新能源材料、生物医用材料、纳米材料等前沿新材料产业。加快建设国家先进高分子材料产业创新中心，带动上下游相关产业集聚，打造新材料产业集聚基地。加快建设“中国纳米谷”，在纳米科技</w:t>
      </w:r>
      <w:r>
        <w:rPr>
          <w:rFonts w:hint="eastAsia" w:ascii="宋体" w:hAnsi="宋体" w:eastAsia="宋体" w:cs="宋体"/>
          <w:i w:val="0"/>
          <w:iCs w:val="0"/>
          <w:caps w:val="0"/>
          <w:color w:val="333333"/>
          <w:spacing w:val="0"/>
          <w:sz w:val="15"/>
          <w:szCs w:val="15"/>
          <w:bdr w:val="none" w:color="auto" w:sz="0" w:space="0"/>
          <w:shd w:val="clear" w:fill="FFFFFF"/>
          <w:vertAlign w:val="superscript"/>
        </w:rPr>
        <w:t>32</w:t>
      </w:r>
      <w:r>
        <w:rPr>
          <w:rFonts w:hint="eastAsia" w:ascii="宋体" w:hAnsi="宋体" w:eastAsia="宋体" w:cs="宋体"/>
          <w:i w:val="0"/>
          <w:iCs w:val="0"/>
          <w:caps w:val="0"/>
          <w:color w:val="333333"/>
          <w:spacing w:val="0"/>
          <w:sz w:val="24"/>
          <w:szCs w:val="24"/>
          <w:bdr w:val="none" w:color="auto" w:sz="0" w:space="0"/>
          <w:shd w:val="clear" w:fill="FFFFFF"/>
        </w:rPr>
        <w:t>核心技术研发、中试孵化、微纳加工、工程化示范应用和产业化等领域取得突破，打造全球领先的“纳米创新集群”。支持龙头企业围绕石墨烯、超材料</w:t>
      </w:r>
      <w:r>
        <w:rPr>
          <w:rFonts w:hint="eastAsia" w:ascii="宋体" w:hAnsi="宋体" w:eastAsia="宋体" w:cs="宋体"/>
          <w:i w:val="0"/>
          <w:iCs w:val="0"/>
          <w:caps w:val="0"/>
          <w:color w:val="333333"/>
          <w:spacing w:val="0"/>
          <w:sz w:val="15"/>
          <w:szCs w:val="15"/>
          <w:bdr w:val="none" w:color="auto" w:sz="0" w:space="0"/>
          <w:shd w:val="clear" w:fill="FFFFFF"/>
          <w:vertAlign w:val="superscript"/>
        </w:rPr>
        <w:t>33</w:t>
      </w:r>
      <w:r>
        <w:rPr>
          <w:rFonts w:hint="eastAsia" w:ascii="宋体" w:hAnsi="宋体" w:eastAsia="宋体" w:cs="宋体"/>
          <w:i w:val="0"/>
          <w:iCs w:val="0"/>
          <w:caps w:val="0"/>
          <w:color w:val="333333"/>
          <w:spacing w:val="0"/>
          <w:sz w:val="24"/>
          <w:szCs w:val="24"/>
          <w:bdr w:val="none" w:color="auto" w:sz="0" w:space="0"/>
          <w:shd w:val="clear" w:fill="FFFFFF"/>
        </w:rPr>
        <w:t>、新型显示、高温超导等领域开展专利导航。</w:t>
      </w:r>
    </w:p>
    <w:p w14:paraId="64D9A30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培育发展未来网络产业。重点发展高速全光通信、算力网络、光计算与可见光通信等领域，推动超高速光电太赫兹</w:t>
      </w:r>
      <w:r>
        <w:rPr>
          <w:rFonts w:hint="eastAsia" w:ascii="宋体" w:hAnsi="宋体" w:eastAsia="宋体" w:cs="宋体"/>
          <w:i w:val="0"/>
          <w:iCs w:val="0"/>
          <w:caps w:val="0"/>
          <w:color w:val="333333"/>
          <w:spacing w:val="0"/>
          <w:sz w:val="15"/>
          <w:szCs w:val="15"/>
          <w:bdr w:val="none" w:color="auto" w:sz="0" w:space="0"/>
          <w:shd w:val="clear" w:fill="FFFFFF"/>
          <w:vertAlign w:val="superscript"/>
        </w:rPr>
        <w:t>34</w:t>
      </w:r>
      <w:r>
        <w:rPr>
          <w:rFonts w:hint="eastAsia" w:ascii="宋体" w:hAnsi="宋体" w:eastAsia="宋体" w:cs="宋体"/>
          <w:i w:val="0"/>
          <w:iCs w:val="0"/>
          <w:caps w:val="0"/>
          <w:color w:val="333333"/>
          <w:spacing w:val="0"/>
          <w:sz w:val="24"/>
          <w:szCs w:val="24"/>
          <w:bdr w:val="none" w:color="auto" w:sz="0" w:space="0"/>
          <w:shd w:val="clear" w:fill="FFFFFF"/>
        </w:rPr>
        <w:t>通信、空天地海一体化通信组网、微波毫米波有源相控阵列、异质异构光电子集成、大容量光传输系统等6G技术加速突破。</w:t>
      </w:r>
    </w:p>
    <w:p w14:paraId="2A385E1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加快发展量子科技</w:t>
      </w:r>
      <w:r>
        <w:rPr>
          <w:rFonts w:hint="eastAsia" w:ascii="宋体" w:hAnsi="宋体" w:eastAsia="宋体" w:cs="宋体"/>
          <w:i w:val="0"/>
          <w:iCs w:val="0"/>
          <w:caps w:val="0"/>
          <w:color w:val="333333"/>
          <w:spacing w:val="0"/>
          <w:sz w:val="15"/>
          <w:szCs w:val="15"/>
          <w:bdr w:val="none" w:color="auto" w:sz="0" w:space="0"/>
          <w:shd w:val="clear" w:fill="FFFFFF"/>
          <w:vertAlign w:val="superscript"/>
        </w:rPr>
        <w:t>35</w:t>
      </w:r>
      <w:r>
        <w:rPr>
          <w:rFonts w:hint="eastAsia" w:ascii="宋体" w:hAnsi="宋体" w:eastAsia="宋体" w:cs="宋体"/>
          <w:i w:val="0"/>
          <w:iCs w:val="0"/>
          <w:caps w:val="0"/>
          <w:color w:val="333333"/>
          <w:spacing w:val="0"/>
          <w:sz w:val="24"/>
          <w:szCs w:val="24"/>
          <w:bdr w:val="none" w:color="auto" w:sz="0" w:space="0"/>
          <w:shd w:val="clear" w:fill="FFFFFF"/>
        </w:rPr>
        <w:t>产业。推动大湾区量子科技产业创新中心建设，强化量子前沿理论研究，加快量子计算、量子精密测量、量子通信等技术突破和产业化，支持量子通信在金融、政务等领域开展场景示范。在黄埔、天河率先探索开展量子科技技术攻关和发展相关产业。</w:t>
      </w:r>
    </w:p>
    <w:tbl>
      <w:tblPr>
        <w:tblW w:w="90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567"/>
        <w:gridCol w:w="8523"/>
      </w:tblGrid>
      <w:tr w14:paraId="61913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11239"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7AFC38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bookmarkStart w:id="0" w:name="_Toc252120442"/>
            <w:r>
              <w:rPr>
                <w:rStyle w:val="6"/>
                <w:rFonts w:hint="eastAsia" w:ascii="宋体" w:hAnsi="宋体" w:eastAsia="宋体" w:cs="宋体"/>
                <w:i w:val="0"/>
                <w:iCs w:val="0"/>
                <w:caps w:val="0"/>
                <w:color w:val="333333"/>
                <w:spacing w:val="0"/>
                <w:sz w:val="24"/>
                <w:szCs w:val="24"/>
                <w:u w:val="none"/>
                <w:bdr w:val="none" w:color="auto" w:sz="0" w:space="0"/>
              </w:rPr>
              <w:t>专栏</w:t>
            </w:r>
            <w:bookmarkEnd w:id="0"/>
            <w:r>
              <w:rPr>
                <w:rStyle w:val="6"/>
                <w:rFonts w:hint="eastAsia" w:ascii="宋体" w:hAnsi="宋体" w:eastAsia="宋体" w:cs="宋体"/>
                <w:i w:val="0"/>
                <w:iCs w:val="0"/>
                <w:caps w:val="0"/>
                <w:color w:val="333333"/>
                <w:spacing w:val="0"/>
                <w:sz w:val="24"/>
                <w:szCs w:val="24"/>
                <w:bdr w:val="none" w:color="auto" w:sz="0" w:space="0"/>
              </w:rPr>
              <w:t>4 未来产业发展重点领域、重点平台</w:t>
            </w:r>
          </w:p>
        </w:tc>
      </w:tr>
      <w:tr w14:paraId="173EC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5492840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01</w:t>
            </w:r>
          </w:p>
        </w:tc>
        <w:tc>
          <w:tcPr>
            <w:tcW w:w="847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97DBAA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具身智能</w:t>
            </w:r>
          </w:p>
          <w:p w14:paraId="7086CE1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重点发展具身智能机器人整机，高力矩密度减速器、智能传感器、一体化关节模组、灵巧手等关键零部件，以及通用与垂类具身智能大模型、全栈自主机器人操作系统等。因地制宜建设一批细分领域具身智能训练场。建设天河聚合智能产业园。打造海心沙全空间智能体验中心等标志性、示范性应用场景。</w:t>
            </w:r>
          </w:p>
        </w:tc>
      </w:tr>
      <w:tr w14:paraId="2E0C3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rPr>
        <w:tc>
          <w:tcPr>
            <w:tcW w:w="6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213CD1A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02</w:t>
            </w:r>
          </w:p>
        </w:tc>
        <w:tc>
          <w:tcPr>
            <w:tcW w:w="847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B6DAD3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前沿新材料</w:t>
            </w:r>
          </w:p>
          <w:p w14:paraId="086F17C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重点加强超材料、超导材料、单/双壁碳纳米管、二维半导体材料、高熵合金、高性能气凝胶隔热材料、量子点材料、石墨烯、先进3D打印材料等领域核心技术攻关。打造碳纤维复合材料、高性能工程塑料、生物基、固态电池、光掩膜、骨骼修复等材料的示范应用场景，加速前沿新材料在先进制造、新能源、电子信息、生物医药等领域的产业化应用。建设粤港澳大湾区新材料化工园、增城高端电子信息新材料产业园、华南新材料创新园等。</w:t>
            </w:r>
          </w:p>
        </w:tc>
      </w:tr>
      <w:tr w14:paraId="771A7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rPr>
        <w:tc>
          <w:tcPr>
            <w:tcW w:w="6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12673CA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03</w:t>
            </w:r>
          </w:p>
        </w:tc>
        <w:tc>
          <w:tcPr>
            <w:tcW w:w="847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E2A9F8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未来网络</w:t>
            </w:r>
          </w:p>
          <w:p w14:paraId="1BFDB40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重点开展6G通信技术与关键器件、空天地通信、光通信技术与网络等关键技术攻关，构建沉浸式通信、超大规模连接、极高可靠低时延、人工智能与通信融合、感知与通信的融合与泛在链接等六大典型场景。</w:t>
            </w:r>
          </w:p>
        </w:tc>
      </w:tr>
      <w:tr w14:paraId="6427D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rPr>
        <w:tc>
          <w:tcPr>
            <w:tcW w:w="6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7441E27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04</w:t>
            </w:r>
          </w:p>
        </w:tc>
        <w:tc>
          <w:tcPr>
            <w:tcW w:w="847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86C03D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量子科技</w:t>
            </w:r>
          </w:p>
          <w:p w14:paraId="2CE2D6D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重点开展量子计算、量子精密测量技术、量子通信技术等关键技术攻关，推动量子科技在金融、交通、医疗、气象环保等重点行业领域试点应用。推动大湾区量子科技产业创新中心建设。</w:t>
            </w:r>
          </w:p>
        </w:tc>
      </w:tr>
    </w:tbl>
    <w:p w14:paraId="5281B12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1FA2FA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第四章  建设具有全球影响力的服务经济中心城市</w:t>
      </w:r>
    </w:p>
    <w:p w14:paraId="5B9D506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6A0090C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突出需求牵引、改革攻坚、科技赋能、开放合作，实施服务业扩能提质行动，分领域推进生产性服务业向专业化和价值链高端延伸，促进生活性服务业高品质、多样化、便利化发展，促进现代服务业与先进制造业、现代农业深度融合，大力发展总部经济和平台经济，让优质高效“广州服务”走向全球。</w:t>
      </w:r>
    </w:p>
    <w:p w14:paraId="6D909DE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1B532D1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加快建设金融强市</w:t>
      </w:r>
    </w:p>
    <w:p w14:paraId="326CE7A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3B83305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做大做强金融平台和机构。支持广州期货交易所加快丰富期货、期权上市品种，支持引进或新设期货经营、风险管理等期货中介和服务机构，大力吸引与期货交易和资产配置相关的金融机构落户，加快建设南沙期货产业园，促进期现货联动发展，推动构建完整期货产业链。支持广东股权交易中心申请开展业务创新试点、有效增加挂牌企业数量。优化金融产业载体布局，加快广州国际金融城建设，吸引国内外知名金融机构、研究院和第三方咨询机构集聚；推动广州民间金融街提质转型。支持市属金融控股公司争取金融控股牌照，提升资产规模和盈利能力。支持证券、基金、保险等金融机构做优做强、争先进位，提升行业影响力。引导地方法人金融机构加快市场化转型，提高投资管理能力和盈利水平，增强综合金融服务功能，加强跨境投资理财管理能力，实现专业化特色化发展。加强与中央及省在穗金融机构协同联动发展，鼓励中信等金融资产投资公司（AIC）扩大在穗投资布局。</w:t>
      </w:r>
    </w:p>
    <w:p w14:paraId="034C214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促进金融资源与产业需求高效精准对接。健全企业上市培育机制，加快推进企业上市“领头羊”行动计划</w:t>
      </w:r>
      <w:r>
        <w:rPr>
          <w:rFonts w:hint="eastAsia" w:ascii="宋体" w:hAnsi="宋体" w:eastAsia="宋体" w:cs="宋体"/>
          <w:i w:val="0"/>
          <w:iCs w:val="0"/>
          <w:caps w:val="0"/>
          <w:color w:val="333333"/>
          <w:spacing w:val="0"/>
          <w:sz w:val="15"/>
          <w:szCs w:val="15"/>
          <w:bdr w:val="none" w:color="auto" w:sz="0" w:space="0"/>
          <w:shd w:val="clear" w:fill="FFFFFF"/>
          <w:vertAlign w:val="superscript"/>
        </w:rPr>
        <w:t>36</w:t>
      </w:r>
      <w:r>
        <w:rPr>
          <w:rFonts w:hint="eastAsia" w:ascii="宋体" w:hAnsi="宋体" w:eastAsia="宋体" w:cs="宋体"/>
          <w:i w:val="0"/>
          <w:iCs w:val="0"/>
          <w:caps w:val="0"/>
          <w:color w:val="333333"/>
          <w:spacing w:val="0"/>
          <w:sz w:val="24"/>
          <w:szCs w:val="24"/>
          <w:bdr w:val="none" w:color="auto" w:sz="0" w:space="0"/>
          <w:shd w:val="clear" w:fill="FFFFFF"/>
        </w:rPr>
        <w:t>，加强上市后备企业库和专业服务机构库动态管理，完善企业上市的发现机制、激励机制。支持上市公司综合运用股份、定向可转债等金融工具实施并购重组。持续完善项目投融资对接机制，招引培育优质普通合伙人</w:t>
      </w:r>
      <w:r>
        <w:rPr>
          <w:rFonts w:hint="eastAsia" w:ascii="宋体" w:hAnsi="宋体" w:eastAsia="宋体" w:cs="宋体"/>
          <w:i w:val="0"/>
          <w:iCs w:val="0"/>
          <w:caps w:val="0"/>
          <w:color w:val="333333"/>
          <w:spacing w:val="0"/>
          <w:sz w:val="15"/>
          <w:szCs w:val="15"/>
          <w:bdr w:val="none" w:color="auto" w:sz="0" w:space="0"/>
          <w:shd w:val="clear" w:fill="FFFFFF"/>
          <w:vertAlign w:val="superscript"/>
        </w:rPr>
        <w:t>37</w:t>
      </w:r>
      <w:r>
        <w:rPr>
          <w:rFonts w:hint="eastAsia" w:ascii="宋体" w:hAnsi="宋体" w:eastAsia="宋体" w:cs="宋体"/>
          <w:i w:val="0"/>
          <w:iCs w:val="0"/>
          <w:caps w:val="0"/>
          <w:color w:val="333333"/>
          <w:spacing w:val="0"/>
          <w:sz w:val="24"/>
          <w:szCs w:val="24"/>
          <w:bdr w:val="none" w:color="auto" w:sz="0" w:space="0"/>
          <w:shd w:val="clear" w:fill="FFFFFF"/>
        </w:rPr>
        <w:t>，吸引国内外优质股权投资管理机构落户，以优质项目供给、高效服务保障推动资本与产业深度融合。加强基金市场建设，发挥产业投资、创业投资、天使母基金作用，引导设立更多金融资产投资公司，鼓励拓展股权投资业务。积极吸引主权财富基金</w:t>
      </w:r>
      <w:r>
        <w:rPr>
          <w:rFonts w:hint="eastAsia" w:ascii="宋体" w:hAnsi="宋体" w:eastAsia="宋体" w:cs="宋体"/>
          <w:i w:val="0"/>
          <w:iCs w:val="0"/>
          <w:caps w:val="0"/>
          <w:color w:val="333333"/>
          <w:spacing w:val="0"/>
          <w:sz w:val="15"/>
          <w:szCs w:val="15"/>
          <w:bdr w:val="none" w:color="auto" w:sz="0" w:space="0"/>
          <w:shd w:val="clear" w:fill="FFFFFF"/>
          <w:vertAlign w:val="superscript"/>
        </w:rPr>
        <w:t>38</w:t>
      </w:r>
      <w:r>
        <w:rPr>
          <w:rFonts w:hint="eastAsia" w:ascii="宋体" w:hAnsi="宋体" w:eastAsia="宋体" w:cs="宋体"/>
          <w:i w:val="0"/>
          <w:iCs w:val="0"/>
          <w:caps w:val="0"/>
          <w:color w:val="333333"/>
          <w:spacing w:val="0"/>
          <w:sz w:val="24"/>
          <w:szCs w:val="24"/>
          <w:bdr w:val="none" w:color="auto" w:sz="0" w:space="0"/>
          <w:shd w:val="clear" w:fill="FFFFFF"/>
        </w:rPr>
        <w:t>等境内外投资机构在穗发展。完善私募基金募集、投资、管理和退出的市场化机制，加快开展私募股权基金份额转让试点，培育发展私募股权二级市场基金</w:t>
      </w:r>
      <w:r>
        <w:rPr>
          <w:rFonts w:hint="eastAsia" w:ascii="宋体" w:hAnsi="宋体" w:eastAsia="宋体" w:cs="宋体"/>
          <w:i w:val="0"/>
          <w:iCs w:val="0"/>
          <w:caps w:val="0"/>
          <w:color w:val="333333"/>
          <w:spacing w:val="0"/>
          <w:sz w:val="15"/>
          <w:szCs w:val="15"/>
          <w:bdr w:val="none" w:color="auto" w:sz="0" w:space="0"/>
          <w:shd w:val="clear" w:fill="FFFFFF"/>
          <w:vertAlign w:val="superscript"/>
        </w:rPr>
        <w:t>39</w:t>
      </w:r>
      <w:r>
        <w:rPr>
          <w:rFonts w:hint="eastAsia" w:ascii="宋体" w:hAnsi="宋体" w:eastAsia="宋体" w:cs="宋体"/>
          <w:i w:val="0"/>
          <w:iCs w:val="0"/>
          <w:caps w:val="0"/>
          <w:color w:val="333333"/>
          <w:spacing w:val="0"/>
          <w:sz w:val="24"/>
          <w:szCs w:val="24"/>
          <w:bdr w:val="none" w:color="auto" w:sz="0" w:space="0"/>
          <w:shd w:val="clear" w:fill="FFFFFF"/>
        </w:rPr>
        <w:t>。</w:t>
      </w:r>
    </w:p>
    <w:p w14:paraId="6E2C39A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加快发展投资顾问</w:t>
      </w:r>
      <w:r>
        <w:rPr>
          <w:rFonts w:hint="eastAsia" w:ascii="宋体" w:hAnsi="宋体" w:eastAsia="宋体" w:cs="宋体"/>
          <w:i w:val="0"/>
          <w:iCs w:val="0"/>
          <w:caps w:val="0"/>
          <w:color w:val="333333"/>
          <w:spacing w:val="0"/>
          <w:sz w:val="15"/>
          <w:szCs w:val="15"/>
          <w:bdr w:val="none" w:color="auto" w:sz="0" w:space="0"/>
          <w:shd w:val="clear" w:fill="FFFFFF"/>
          <w:vertAlign w:val="superscript"/>
        </w:rPr>
        <w:t>40</w:t>
      </w:r>
      <w:r>
        <w:rPr>
          <w:rFonts w:hint="eastAsia" w:ascii="宋体" w:hAnsi="宋体" w:eastAsia="宋体" w:cs="宋体"/>
          <w:i w:val="0"/>
          <w:iCs w:val="0"/>
          <w:caps w:val="0"/>
          <w:color w:val="333333"/>
          <w:spacing w:val="0"/>
          <w:sz w:val="24"/>
          <w:szCs w:val="24"/>
          <w:bdr w:val="none" w:color="auto" w:sz="0" w:space="0"/>
          <w:shd w:val="clear" w:fill="FFFFFF"/>
        </w:rPr>
        <w:t>、资产管理等新业态。引导金融机构加快财富管理向买方投资顾问模式转型，积极培育本地投资顾问主体，推动更多基金公司在穗设立基金销售子公司。加快构建特殊资产</w:t>
      </w:r>
      <w:r>
        <w:rPr>
          <w:rFonts w:hint="eastAsia" w:ascii="宋体" w:hAnsi="宋体" w:eastAsia="宋体" w:cs="宋体"/>
          <w:i w:val="0"/>
          <w:iCs w:val="0"/>
          <w:caps w:val="0"/>
          <w:color w:val="333333"/>
          <w:spacing w:val="0"/>
          <w:sz w:val="15"/>
          <w:szCs w:val="15"/>
          <w:bdr w:val="none" w:color="auto" w:sz="0" w:space="0"/>
          <w:shd w:val="clear" w:fill="FFFFFF"/>
          <w:vertAlign w:val="superscript"/>
        </w:rPr>
        <w:t>41</w:t>
      </w:r>
      <w:r>
        <w:rPr>
          <w:rFonts w:hint="eastAsia" w:ascii="宋体" w:hAnsi="宋体" w:eastAsia="宋体" w:cs="宋体"/>
          <w:i w:val="0"/>
          <w:iCs w:val="0"/>
          <w:caps w:val="0"/>
          <w:color w:val="333333"/>
          <w:spacing w:val="0"/>
          <w:sz w:val="24"/>
          <w:szCs w:val="24"/>
          <w:bdr w:val="none" w:color="auto" w:sz="0" w:space="0"/>
          <w:shd w:val="clear" w:fill="FFFFFF"/>
        </w:rPr>
        <w:t>管理新模式，深化特殊资产处置府院联动</w:t>
      </w:r>
      <w:r>
        <w:rPr>
          <w:rFonts w:hint="eastAsia" w:ascii="宋体" w:hAnsi="宋体" w:eastAsia="宋体" w:cs="宋体"/>
          <w:i w:val="0"/>
          <w:iCs w:val="0"/>
          <w:caps w:val="0"/>
          <w:color w:val="333333"/>
          <w:spacing w:val="0"/>
          <w:sz w:val="15"/>
          <w:szCs w:val="15"/>
          <w:bdr w:val="none" w:color="auto" w:sz="0" w:space="0"/>
          <w:shd w:val="clear" w:fill="FFFFFF"/>
          <w:vertAlign w:val="superscript"/>
        </w:rPr>
        <w:t>42</w:t>
      </w:r>
      <w:r>
        <w:rPr>
          <w:rFonts w:hint="eastAsia" w:ascii="宋体" w:hAnsi="宋体" w:eastAsia="宋体" w:cs="宋体"/>
          <w:i w:val="0"/>
          <w:iCs w:val="0"/>
          <w:caps w:val="0"/>
          <w:color w:val="333333"/>
          <w:spacing w:val="0"/>
          <w:sz w:val="24"/>
          <w:szCs w:val="24"/>
          <w:bdr w:val="none" w:color="auto" w:sz="0" w:space="0"/>
          <w:shd w:val="clear" w:fill="FFFFFF"/>
        </w:rPr>
        <w:t>机制建设。积极推进不动产资产管理业态发展，加快广东股权交易中心不动产私募基金份额转让交易专板建设。</w:t>
      </w:r>
    </w:p>
    <w:p w14:paraId="0625781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扩大金融业对外开放。加快落实“南沙金融30条”，开展跨境金融创新与交流。推进合格境内有限合伙人（QDLP）试点</w:t>
      </w:r>
      <w:r>
        <w:rPr>
          <w:rFonts w:hint="eastAsia" w:ascii="宋体" w:hAnsi="宋体" w:eastAsia="宋体" w:cs="宋体"/>
          <w:i w:val="0"/>
          <w:iCs w:val="0"/>
          <w:caps w:val="0"/>
          <w:color w:val="333333"/>
          <w:spacing w:val="0"/>
          <w:sz w:val="15"/>
          <w:szCs w:val="15"/>
          <w:bdr w:val="none" w:color="auto" w:sz="0" w:space="0"/>
          <w:shd w:val="clear" w:fill="FFFFFF"/>
          <w:vertAlign w:val="superscript"/>
        </w:rPr>
        <w:t>43</w:t>
      </w:r>
      <w:r>
        <w:rPr>
          <w:rFonts w:hint="eastAsia" w:ascii="宋体" w:hAnsi="宋体" w:eastAsia="宋体" w:cs="宋体"/>
          <w:i w:val="0"/>
          <w:iCs w:val="0"/>
          <w:caps w:val="0"/>
          <w:color w:val="333333"/>
          <w:spacing w:val="0"/>
          <w:sz w:val="24"/>
          <w:szCs w:val="24"/>
          <w:bdr w:val="none" w:color="auto" w:sz="0" w:space="0"/>
          <w:shd w:val="clear" w:fill="FFFFFF"/>
        </w:rPr>
        <w:t>和合格境外有限合伙人（QFLP）试点</w:t>
      </w:r>
      <w:r>
        <w:rPr>
          <w:rFonts w:hint="eastAsia" w:ascii="宋体" w:hAnsi="宋体" w:eastAsia="宋体" w:cs="宋体"/>
          <w:i w:val="0"/>
          <w:iCs w:val="0"/>
          <w:caps w:val="0"/>
          <w:color w:val="333333"/>
          <w:spacing w:val="0"/>
          <w:sz w:val="15"/>
          <w:szCs w:val="15"/>
          <w:bdr w:val="none" w:color="auto" w:sz="0" w:space="0"/>
          <w:shd w:val="clear" w:fill="FFFFFF"/>
          <w:vertAlign w:val="superscript"/>
        </w:rPr>
        <w:t>44</w:t>
      </w:r>
      <w:r>
        <w:rPr>
          <w:rFonts w:hint="eastAsia" w:ascii="宋体" w:hAnsi="宋体" w:eastAsia="宋体" w:cs="宋体"/>
          <w:i w:val="0"/>
          <w:iCs w:val="0"/>
          <w:caps w:val="0"/>
          <w:color w:val="333333"/>
          <w:spacing w:val="0"/>
          <w:sz w:val="24"/>
          <w:szCs w:val="24"/>
          <w:bdr w:val="none" w:color="auto" w:sz="0" w:space="0"/>
          <w:shd w:val="clear" w:fill="FFFFFF"/>
        </w:rPr>
        <w:t>，有序扩大自由贸易账户（FT）</w:t>
      </w:r>
      <w:r>
        <w:rPr>
          <w:rFonts w:hint="eastAsia" w:ascii="宋体" w:hAnsi="宋体" w:eastAsia="宋体" w:cs="宋体"/>
          <w:i w:val="0"/>
          <w:iCs w:val="0"/>
          <w:caps w:val="0"/>
          <w:color w:val="333333"/>
          <w:spacing w:val="0"/>
          <w:sz w:val="15"/>
          <w:szCs w:val="15"/>
          <w:bdr w:val="none" w:color="auto" w:sz="0" w:space="0"/>
          <w:shd w:val="clear" w:fill="FFFFFF"/>
          <w:vertAlign w:val="superscript"/>
        </w:rPr>
        <w:t>45</w:t>
      </w:r>
      <w:r>
        <w:rPr>
          <w:rFonts w:hint="eastAsia" w:ascii="宋体" w:hAnsi="宋体" w:eastAsia="宋体" w:cs="宋体"/>
          <w:i w:val="0"/>
          <w:iCs w:val="0"/>
          <w:caps w:val="0"/>
          <w:color w:val="333333"/>
          <w:spacing w:val="0"/>
          <w:sz w:val="24"/>
          <w:szCs w:val="24"/>
          <w:bdr w:val="none" w:color="auto" w:sz="0" w:space="0"/>
          <w:shd w:val="clear" w:fill="FFFFFF"/>
        </w:rPr>
        <w:t>试点银行范围。支持广州期货交易所将已上市的期货期权产品纳入对外开放特定品种范围。稳步开展“跨境理财通”业务</w:t>
      </w:r>
      <w:r>
        <w:rPr>
          <w:rFonts w:hint="eastAsia" w:ascii="宋体" w:hAnsi="宋体" w:eastAsia="宋体" w:cs="宋体"/>
          <w:i w:val="0"/>
          <w:iCs w:val="0"/>
          <w:caps w:val="0"/>
          <w:color w:val="333333"/>
          <w:spacing w:val="0"/>
          <w:sz w:val="15"/>
          <w:szCs w:val="15"/>
          <w:bdr w:val="none" w:color="auto" w:sz="0" w:space="0"/>
          <w:shd w:val="clear" w:fill="FFFFFF"/>
          <w:vertAlign w:val="superscript"/>
        </w:rPr>
        <w:t>46</w:t>
      </w:r>
      <w:r>
        <w:rPr>
          <w:rFonts w:hint="eastAsia" w:ascii="宋体" w:hAnsi="宋体" w:eastAsia="宋体" w:cs="宋体"/>
          <w:i w:val="0"/>
          <w:iCs w:val="0"/>
          <w:caps w:val="0"/>
          <w:color w:val="333333"/>
          <w:spacing w:val="0"/>
          <w:sz w:val="24"/>
          <w:szCs w:val="24"/>
          <w:bdr w:val="none" w:color="auto" w:sz="0" w:space="0"/>
          <w:shd w:val="clear" w:fill="FFFFFF"/>
        </w:rPr>
        <w:t>试点，优化面向港澳居民的代理见证开户流程。完善与港澳金融合作对接机制，支持在穗企业到香港上市、开展跨国并购融资，支持境内金融机构和企业到澳门债券市场开展跨境融资。争取扩大港澳银行分支机构经营范围，提高港澳金融机构在穗展业便利化水平。</w:t>
      </w:r>
    </w:p>
    <w:p w14:paraId="57B719E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8676D8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全面增强专业服务业核心竞争力</w:t>
      </w:r>
    </w:p>
    <w:p w14:paraId="7259C40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983E2B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推动专业服务业高端化发展。做强做优研发设计、检验检测认证、人力资源、知识产权等行业，提升法律服务、会计审计、广告营销、咨询评估等行业服务水平，培育具有国际竞争力的服务机构和品牌。大力发展建筑设计、工业设计、动漫游戏设计等细分行业，加快广州设计之都等平台建设，培育具有国际水准的工业设计中心，打造国际国内原创设计的首发地、优秀设计的产业转化高地。统筹推进质量强市、强区、强企、强链、强基建设，提升新能源与智能网联汽车、新型显示、生物医药等重点产业检验检测服务水平，规划建设广州医疗器械检验中心、国家服务机器人产品质量检验检测中心等项目。开展人力资源服务业与制造业融合发展试点，推动中国广州人力资源服务产业园提质扩容。建强广州湾区中央法务区，引导一批专业实力强的境内外知名机构进驻，培育一批具有全国领先水平的专业法律服务品牌，以优质法律服务助力人工智能、低空经济等新技术新业态健康发展。鼓励通过市场化方式整合优质资源，打造具有全国影响力的本土会计师事务所品牌。建设广州数智广告产业示范区，提升广州国家广告产业园区集聚数字广告行业发展要素的能力。</w:t>
      </w:r>
    </w:p>
    <w:p w14:paraId="27B1DA1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深化专业服务业开放合作。高水平建设广州市人力资源服务出口服务区，大力发展人力资源服务贸易新业态。深化粤港澳联营律师事务所试点。建强粤港澳大湾区（南沙）财税专业服务集聚区，促进穗港澳专业服务业机构深化合作。推动知识产权服务业扩大开放，深入开展知识产权公共服务标准化建设，推动服务制度标准化、运行规范化、程序便利化。支持专业服务机构“走出去”，加强与共建“一带一路”国家和地区合作，建设“一带一路”法律与商事服务中心、质检技术服务联盟，拓展区域全面经济伙伴关系协定（RCEP）</w:t>
      </w:r>
      <w:r>
        <w:rPr>
          <w:rFonts w:hint="eastAsia" w:ascii="宋体" w:hAnsi="宋体" w:eastAsia="宋体" w:cs="宋体"/>
          <w:i w:val="0"/>
          <w:iCs w:val="0"/>
          <w:caps w:val="0"/>
          <w:color w:val="333333"/>
          <w:spacing w:val="0"/>
          <w:sz w:val="15"/>
          <w:szCs w:val="15"/>
          <w:bdr w:val="none" w:color="auto" w:sz="0" w:space="0"/>
          <w:shd w:val="clear" w:fill="FFFFFF"/>
          <w:vertAlign w:val="superscript"/>
        </w:rPr>
        <w:t>47</w:t>
      </w:r>
      <w:r>
        <w:rPr>
          <w:rFonts w:hint="eastAsia" w:ascii="宋体" w:hAnsi="宋体" w:eastAsia="宋体" w:cs="宋体"/>
          <w:i w:val="0"/>
          <w:iCs w:val="0"/>
          <w:caps w:val="0"/>
          <w:color w:val="333333"/>
          <w:spacing w:val="0"/>
          <w:sz w:val="24"/>
          <w:szCs w:val="24"/>
          <w:bdr w:val="none" w:color="auto" w:sz="0" w:space="0"/>
          <w:shd w:val="clear" w:fill="FFFFFF"/>
        </w:rPr>
        <w:t>服务网络，通过海外并购、联合运营等方式构建全球服务网络，提升广州专业服务业的国际影响力。放宽专业技术职业资格考试对境外人才的限制。</w:t>
      </w:r>
    </w:p>
    <w:p w14:paraId="4A3A850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1007479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第三节  持续提升国际会展中心城市地位</w:t>
      </w:r>
    </w:p>
    <w:p w14:paraId="09FE4F0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3D2DBDC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打造“引领市场”和“永不落幕”的广交会。完善广交会服务保障工作机制，支持广交会打造成为中国全方位对外开放、促进国际贸易高质量发展、联通国内国际双循环的重要平台。推动广交会优化组织模式、功能布局、参展结构，增强经贸洽谈、行业交流、新品发布等功能。优化广交会发展政策环境，落实好广交会展期内销售的进口展品税收优惠政策，提升人员出入境、展品通关监管等便利化水平。支持广交会线上线下融合发展，推动“智慧广交会”“绿色广交会”建设，让广交会“金字招牌”不断焕发新的时代风采。</w:t>
      </w:r>
    </w:p>
    <w:p w14:paraId="390BE79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推动展会专业化品牌化国际化发展。促进展产融合，构建“一业一展”体系，提升汽车、家居建材、美容美妆、照明音响等领域品牌展会的知名度和影响力，培育新能源与新型储能、智能装备与机器人、低空经济与航空航天等产业展会。深化与全球展览业协会（UFI）、国际展览与项目协会（IAEE）等国际组织合作，争取引进更多高级别、高层次的国际性会展活动。持续办好广州博览会。</w:t>
      </w:r>
    </w:p>
    <w:p w14:paraId="5D7151A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提升会展溢出效应。实施“会展+”行动，促进“会展+消费”“会展+招商”“会展+贸易”“会展+文旅”融合，推动参展商、采购商转化为城市消费者、项目投资商。加力培育本土龙头会展企业，支持广州国际会展集团整合市属会展场馆、品牌展会、节庆IP等优质资源，打造产业会展一站式综合服务平台。鼓励本地会展机构积极开拓国内外市场，带动广州会展品牌和广货产品“走出去”。</w:t>
      </w:r>
    </w:p>
    <w:p w14:paraId="13D6693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FAC104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第五章  建设彰显海洋特色的现代化城市</w:t>
      </w:r>
    </w:p>
    <w:p w14:paraId="5D8CFD5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C4A8B7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坚定不移向海图兴、向海图强，加强创新驱动、陆海统筹、合作共赢，积极参与创建全国海洋经济发展示范区。</w:t>
      </w:r>
    </w:p>
    <w:p w14:paraId="74000FB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7FD1F7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做大做强做优现代海洋产业</w:t>
      </w:r>
    </w:p>
    <w:p w14:paraId="04E9C43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9D1A77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巩固拓展海洋优势产业。持续提升船舶与海洋工程装备、海洋航运服务、现代海洋牧场、海洋旅游等海洋优势产业的核心竞争力。提升现代航运服务业，促进海洋物流运输提质增效，拓展江海联运、海铁联运等多式联运，加大粮食、煤炭等主要散货“散改集”组货力度；依托大湾区航运联合交易中心做大船舶交易，延伸发展航运经纪、船舶融资租赁、船舶金融保险等业态，依托广州国际航运仲裁院做强海商法律仲裁服务，促进航运交易、海事服务等企业和功能性机构集聚，打造国际海事服务产业集聚区。构建集种养、养殖、装备、精深加工于一体的现代化海洋牧场全产业链，加快番禺国家级沿海渔港经济区、南沙省级现代渔业产业园建设。做强海洋旅游业，加快南沙国际邮轮母港消费设施及场景提升试点建设，强化国内国际城市港口联动，推动常态化运营国际邮轮航线，融合发展邮轮、游船、游艇等海洋旅游产品，丰富海岸水上运动，打造大吉沙岛、海鸥岛等一批海上生态岛和现代活力岛，推进“海域—海岛—海岸”旅游立体开发。</w:t>
      </w:r>
    </w:p>
    <w:p w14:paraId="42EB5E0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培育海洋新兴和前沿产业。大力发展海洋新能源产业，加强天然气水合物</w:t>
      </w:r>
      <w:r>
        <w:rPr>
          <w:rFonts w:hint="eastAsia" w:ascii="宋体" w:hAnsi="宋体" w:eastAsia="宋体" w:cs="宋体"/>
          <w:i w:val="0"/>
          <w:iCs w:val="0"/>
          <w:caps w:val="0"/>
          <w:color w:val="333333"/>
          <w:spacing w:val="0"/>
          <w:sz w:val="15"/>
          <w:szCs w:val="15"/>
          <w:bdr w:val="none" w:color="auto" w:sz="0" w:space="0"/>
          <w:shd w:val="clear" w:fill="FFFFFF"/>
          <w:vertAlign w:val="superscript"/>
        </w:rPr>
        <w:t>48</w:t>
      </w:r>
      <w:r>
        <w:rPr>
          <w:rFonts w:hint="eastAsia" w:ascii="宋体" w:hAnsi="宋体" w:eastAsia="宋体" w:cs="宋体"/>
          <w:i w:val="0"/>
          <w:iCs w:val="0"/>
          <w:caps w:val="0"/>
          <w:color w:val="333333"/>
          <w:spacing w:val="0"/>
          <w:sz w:val="24"/>
          <w:szCs w:val="24"/>
          <w:bdr w:val="none" w:color="auto" w:sz="0" w:space="0"/>
          <w:shd w:val="clear" w:fill="FFFFFF"/>
        </w:rPr>
        <w:t>等海底矿产资源勘探开发，推动建设全国天然气水合物研发和商业开发总部基地，培育海底矿产资源勘探、开采、运输、环境监测、装备制造产业链，前瞻布局波浪能、温差能等海洋能源产业。创新发展海洋药物与生物制品业，市场化建设海洋药物和生物制品中试研发平台和产业孵化器，重点发展以海洋生物为原料的功能性食品、化妆品、医疗器械及海洋药物产业，探索深层海水资源开发利用。培育发展海洋新材料产业，推动耐腐蚀材料、表面改性技术等前沿领域的研发和产业化应用。打造陆海融合的海洋电子信息产业集群，强化新一代移动通信、卫星互联网、量子信息等技术在海洋遥感探测、海洋仪器仪表、水下通讯与导航服务等领域应用，积极发展海上通信、海底定位与水下通讯及海洋大数据服务。培育壮大海洋无人系统产业，重点突破水下机械臂、水下智能无人系统等核心技术，推进水下机器人、无人船艇等无人系统设备产业化。</w:t>
      </w:r>
    </w:p>
    <w:p w14:paraId="1D88715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89086D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建好用好海洋科技创新平台</w:t>
      </w:r>
    </w:p>
    <w:p w14:paraId="2F051E3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3049E7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推动建设国家级深海科技创新中心，以“一船一库一装置一基地”</w:t>
      </w:r>
      <w:r>
        <w:rPr>
          <w:rFonts w:hint="eastAsia" w:ascii="宋体" w:hAnsi="宋体" w:eastAsia="宋体" w:cs="宋体"/>
          <w:i w:val="0"/>
          <w:iCs w:val="0"/>
          <w:caps w:val="0"/>
          <w:color w:val="333333"/>
          <w:spacing w:val="0"/>
          <w:sz w:val="15"/>
          <w:szCs w:val="15"/>
          <w:bdr w:val="none" w:color="auto" w:sz="0" w:space="0"/>
          <w:shd w:val="clear" w:fill="FFFFFF"/>
          <w:vertAlign w:val="superscript"/>
        </w:rPr>
        <w:t>49</w:t>
      </w:r>
      <w:r>
        <w:rPr>
          <w:rFonts w:hint="eastAsia" w:ascii="宋体" w:hAnsi="宋体" w:eastAsia="宋体" w:cs="宋体"/>
          <w:i w:val="0"/>
          <w:iCs w:val="0"/>
          <w:caps w:val="0"/>
          <w:color w:val="333333"/>
          <w:spacing w:val="0"/>
          <w:sz w:val="24"/>
          <w:szCs w:val="24"/>
          <w:bdr w:val="none" w:color="auto" w:sz="0" w:space="0"/>
          <w:shd w:val="clear" w:fill="FFFFFF"/>
        </w:rPr>
        <w:t>为依托，力争在“深潜、深钻、深网、极地”</w:t>
      </w:r>
      <w:r>
        <w:rPr>
          <w:rFonts w:hint="eastAsia" w:ascii="宋体" w:hAnsi="宋体" w:eastAsia="宋体" w:cs="宋体"/>
          <w:i w:val="0"/>
          <w:iCs w:val="0"/>
          <w:caps w:val="0"/>
          <w:color w:val="333333"/>
          <w:spacing w:val="0"/>
          <w:sz w:val="15"/>
          <w:szCs w:val="15"/>
          <w:bdr w:val="none" w:color="auto" w:sz="0" w:space="0"/>
          <w:shd w:val="clear" w:fill="FFFFFF"/>
          <w:vertAlign w:val="superscript"/>
        </w:rPr>
        <w:t>50</w:t>
      </w:r>
      <w:r>
        <w:rPr>
          <w:rFonts w:hint="eastAsia" w:ascii="宋体" w:hAnsi="宋体" w:eastAsia="宋体" w:cs="宋体"/>
          <w:i w:val="0"/>
          <w:iCs w:val="0"/>
          <w:caps w:val="0"/>
          <w:color w:val="333333"/>
          <w:spacing w:val="0"/>
          <w:sz w:val="24"/>
          <w:szCs w:val="24"/>
          <w:bdr w:val="none" w:color="auto" w:sz="0" w:space="0"/>
          <w:shd w:val="clear" w:fill="FFFFFF"/>
        </w:rPr>
        <w:t>等关键科研领域取得重大突破。用好“梦想”号大洋钻探船、大洋钻探岩心库、冷泉生态系统研究装置、天然气水合物勘查开发国家工程研究中心，积极参与国家海洋资源的综合开发利用。加快建设极地考察国内基地（广东），争取落户更多深海极地领域科技创新平台，开展深海构造与地球物理、海洋沉积与环境、极地海洋等深远海的基础科学研究，重点攻关深海油气资源开发、深海矿产资源勘探、深远海浮式风电平台等设备关键技术，强化深海极地考察支撑保障体系，全方位提升深海和极地进入、探测和开发能力，增强广州在深海极地领域国际影响力。建设智能船舶中试基地和深海装备等新兴产业概念验证、中试验证平台，以及海洋孵化基地、实践基地、人才流动站等公共服务平台，高效推进海洋科技成果转移转化。</w:t>
      </w:r>
    </w:p>
    <w:p w14:paraId="42FB5E6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33FDAF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第三节  加强海洋领域合作开放</w:t>
      </w:r>
    </w:p>
    <w:p w14:paraId="6948843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94B609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探索“海域跨界合作区”及“飞海”</w:t>
      </w:r>
      <w:r>
        <w:rPr>
          <w:rFonts w:hint="eastAsia" w:ascii="宋体" w:hAnsi="宋体" w:eastAsia="宋体" w:cs="宋体"/>
          <w:i w:val="0"/>
          <w:iCs w:val="0"/>
          <w:caps w:val="0"/>
          <w:color w:val="333333"/>
          <w:spacing w:val="0"/>
          <w:sz w:val="15"/>
          <w:szCs w:val="15"/>
          <w:bdr w:val="none" w:color="auto" w:sz="0" w:space="0"/>
          <w:shd w:val="clear" w:fill="FFFFFF"/>
          <w:vertAlign w:val="superscript"/>
        </w:rPr>
        <w:t>51</w:t>
      </w:r>
      <w:r>
        <w:rPr>
          <w:rFonts w:hint="eastAsia" w:ascii="宋体" w:hAnsi="宋体" w:eastAsia="宋体" w:cs="宋体"/>
          <w:i w:val="0"/>
          <w:iCs w:val="0"/>
          <w:caps w:val="0"/>
          <w:color w:val="333333"/>
          <w:spacing w:val="0"/>
          <w:sz w:val="24"/>
          <w:szCs w:val="24"/>
          <w:bdr w:val="none" w:color="auto" w:sz="0" w:space="0"/>
          <w:shd w:val="clear" w:fill="FFFFFF"/>
        </w:rPr>
        <w:t>等模式，与沿海城市共建海洋产业园区、海洋高技术成果高效转化基地。深化与港澳在海洋金融、海事服务、海洋科研、滨海旅游等领域开放合作。探索建立南部海洋经济圈合作平台，谋划建设辐射东南亚的海洋合作交流中心。积极参与联合国“海洋科学促进可持续发展十年”</w:t>
      </w:r>
      <w:r>
        <w:rPr>
          <w:rFonts w:hint="eastAsia" w:ascii="宋体" w:hAnsi="宋体" w:eastAsia="宋体" w:cs="宋体"/>
          <w:i w:val="0"/>
          <w:iCs w:val="0"/>
          <w:caps w:val="0"/>
          <w:color w:val="333333"/>
          <w:spacing w:val="0"/>
          <w:sz w:val="15"/>
          <w:szCs w:val="15"/>
          <w:bdr w:val="none" w:color="auto" w:sz="0" w:space="0"/>
          <w:shd w:val="clear" w:fill="FFFFFF"/>
          <w:vertAlign w:val="superscript"/>
        </w:rPr>
        <w:t>52</w:t>
      </w:r>
      <w:r>
        <w:rPr>
          <w:rFonts w:hint="eastAsia" w:ascii="宋体" w:hAnsi="宋体" w:eastAsia="宋体" w:cs="宋体"/>
          <w:i w:val="0"/>
          <w:iCs w:val="0"/>
          <w:caps w:val="0"/>
          <w:color w:val="333333"/>
          <w:spacing w:val="0"/>
          <w:sz w:val="24"/>
          <w:szCs w:val="24"/>
          <w:bdr w:val="none" w:color="auto" w:sz="0" w:space="0"/>
          <w:shd w:val="clear" w:fill="FFFFFF"/>
        </w:rPr>
        <w:t>框架下计划、项目及活动。筹建中国大洋钻探平台管理运行中心，谋划组织实施大洋钻探国际大科学计划，在极地、深海采矿、国际边缘海等前沿领域加强国际交流合作。参与海洋领域国际标准和行业规则的制定，加强与国际港口协会、国际海事组织等国际组织合作，缔结新的国际友好港，共建“蓝色伙伴关系”。</w:t>
      </w:r>
    </w:p>
    <w:p w14:paraId="3246822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D6B7FE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第三篇  推动教育科技人才优势转化为现实生产力，做强国际科技创新中心重要承载地</w:t>
      </w:r>
    </w:p>
    <w:p w14:paraId="0179A02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11F6F7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发挥广州教育科技人才资源集聚优势，建好用好国家重大战略科技力量，加强面向产业需求的科研攻关，推进科技创新和产业创新互促双强，一体推进教育科技人才发展，高标准建设教育强市、科技创新强市、人才强市。</w:t>
      </w:r>
    </w:p>
    <w:p w14:paraId="6FC204F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515EEC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第六章  提升科技创新策源能力</w:t>
      </w:r>
    </w:p>
    <w:p w14:paraId="294DEF2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0CB5C5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瞄准世界科技前沿和国家战略需求，以大湾区综合性国家科学中心为牵引，构建一流实验室体系、一流重大科技基础设施集群和一流科研机构，携手港澳科研力量共同打造国家战略科技力量的关键支撑，力争取得一批前瞻性、引领性成果。</w:t>
      </w:r>
    </w:p>
    <w:p w14:paraId="53FBEAB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678311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推进战略科技力量分层分类建设</w:t>
      </w:r>
    </w:p>
    <w:p w14:paraId="5A6FA03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6019A89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建强用好广州实验室，强化基础能力保障，创新人才引进服务、科研组织模式、专项政策支持、成果转化应用等方面体制机制，力争在呼吸系统传染病治疗、呼吸系统诊疗设备研发等领域实现重大原始创新和技术突破。争取建设崂山国家实验室广东基地，聚焦岛礁可持续发展、资源可持续利用、生态可持续发展等开展核心科学问题研究与关键技术攻关。推进生物岛、人工智能与数字经济、南方海洋科学与工程、岭南现代农业科学与技术等省实验室整体质量全面提升。建成人类细胞谱系大科学研究设施，构建数字细胞人工智能大模型，打造研究人类发育、疾病、衰老的“国之重器”。建成冷泉生态系统研究装置，促进冷泉发育机制、极端生命演化过程、可燃冰的生态效应研究等海洋科学发展，提升海洋领域核心技术原始创新能力和装备自主研发能力。推进人体蛋白质组导航国际大科学计划实施，力争在新药靶点发现、疾病诊断标志物挖掘等领域持续产出突破性成果。加快粤港澳大湾区国家技术创新中心建设，建好工业软件、粒子应用、集成电路、智能系统等直属创新平台，构建布局合理、功能完备的“核心总部＋创新网络”协同创新体系。系统建好新型显示、新型储能、纳米智造、先进高分子材料等专项领域国家创新中心。建立健全战略科技力量“沿途下蛋”</w:t>
      </w:r>
      <w:r>
        <w:rPr>
          <w:rFonts w:hint="eastAsia" w:ascii="宋体" w:hAnsi="宋体" w:eastAsia="宋体" w:cs="宋体"/>
          <w:i w:val="0"/>
          <w:iCs w:val="0"/>
          <w:caps w:val="0"/>
          <w:color w:val="333333"/>
          <w:spacing w:val="0"/>
          <w:sz w:val="15"/>
          <w:szCs w:val="15"/>
          <w:bdr w:val="none" w:color="auto" w:sz="0" w:space="0"/>
          <w:shd w:val="clear" w:fill="FFFFFF"/>
          <w:vertAlign w:val="superscript"/>
        </w:rPr>
        <w:t>53</w:t>
      </w:r>
      <w:r>
        <w:rPr>
          <w:rFonts w:hint="eastAsia" w:ascii="宋体" w:hAnsi="宋体" w:eastAsia="宋体" w:cs="宋体"/>
          <w:i w:val="0"/>
          <w:iCs w:val="0"/>
          <w:caps w:val="0"/>
          <w:color w:val="333333"/>
          <w:spacing w:val="0"/>
          <w:sz w:val="24"/>
          <w:szCs w:val="24"/>
          <w:bdr w:val="none" w:color="auto" w:sz="0" w:space="0"/>
          <w:shd w:val="clear" w:fill="FFFFFF"/>
        </w:rPr>
        <w:t>机制，推动边建设、边运行、边产出、边转化。高标准建设南沙科学城，集聚更多中国科学院系统科研机构。</w:t>
      </w:r>
    </w:p>
    <w:p w14:paraId="64FA779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DF147F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加强关键核心技术攻关</w:t>
      </w:r>
    </w:p>
    <w:p w14:paraId="35B2A77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p>
    <w:p w14:paraId="247A5E1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围绕重点产业链关键环节体系化布局攻关任务，深入参与“广东强芯”</w:t>
      </w:r>
      <w:r>
        <w:rPr>
          <w:rFonts w:hint="eastAsia" w:ascii="宋体" w:hAnsi="宋体" w:eastAsia="宋体" w:cs="宋体"/>
          <w:i w:val="0"/>
          <w:iCs w:val="0"/>
          <w:caps w:val="0"/>
          <w:color w:val="333333"/>
          <w:spacing w:val="0"/>
          <w:sz w:val="15"/>
          <w:szCs w:val="15"/>
          <w:bdr w:val="none" w:color="auto" w:sz="0" w:space="0"/>
          <w:shd w:val="clear" w:fill="FFFFFF"/>
          <w:vertAlign w:val="superscript"/>
        </w:rPr>
        <w:t>54</w:t>
      </w:r>
      <w:r>
        <w:rPr>
          <w:rFonts w:hint="eastAsia" w:ascii="宋体" w:hAnsi="宋体" w:eastAsia="宋体" w:cs="宋体"/>
          <w:i w:val="0"/>
          <w:iCs w:val="0"/>
          <w:caps w:val="0"/>
          <w:color w:val="333333"/>
          <w:spacing w:val="0"/>
          <w:sz w:val="24"/>
          <w:szCs w:val="24"/>
          <w:bdr w:val="none" w:color="auto" w:sz="0" w:space="0"/>
          <w:shd w:val="clear" w:fill="FFFFFF"/>
        </w:rPr>
        <w:t>、显示制造装备“璀璨行动”</w:t>
      </w:r>
      <w:r>
        <w:rPr>
          <w:rFonts w:hint="eastAsia" w:ascii="宋体" w:hAnsi="宋体" w:eastAsia="宋体" w:cs="宋体"/>
          <w:i w:val="0"/>
          <w:iCs w:val="0"/>
          <w:caps w:val="0"/>
          <w:color w:val="333333"/>
          <w:spacing w:val="0"/>
          <w:sz w:val="15"/>
          <w:szCs w:val="15"/>
          <w:bdr w:val="none" w:color="auto" w:sz="0" w:space="0"/>
          <w:shd w:val="clear" w:fill="FFFFFF"/>
          <w:vertAlign w:val="superscript"/>
        </w:rPr>
        <w:t>55</w:t>
      </w:r>
      <w:r>
        <w:rPr>
          <w:rFonts w:hint="eastAsia" w:ascii="宋体" w:hAnsi="宋体" w:eastAsia="宋体" w:cs="宋体"/>
          <w:i w:val="0"/>
          <w:iCs w:val="0"/>
          <w:caps w:val="0"/>
          <w:color w:val="333333"/>
          <w:spacing w:val="0"/>
          <w:sz w:val="24"/>
          <w:szCs w:val="24"/>
          <w:bdr w:val="none" w:color="auto" w:sz="0" w:space="0"/>
          <w:shd w:val="clear" w:fill="FFFFFF"/>
        </w:rPr>
        <w:t>、核心软件攻关等重大科技攻关工程，力争在人工智能、生物医药、脑机接口、量子科技、深海深空、高端科学仪器等重点领域取得决定性突破。推进广州颠覆性技术创新中心建设，深入参与国家颠覆性技术创新专项，强化基础性、前沿性、颠覆性技术布局。争取布局建设国家未来产业研究院和概念验证中心，争创国家未来产业先导区。强化跨领域跨学科协同，健全重大任务人才特殊调配机制，扩大“揭榜挂帅”“赛马制”“业主制”等攻关项目组织方式实施范围，探索“补改投”</w:t>
      </w:r>
      <w:r>
        <w:rPr>
          <w:rFonts w:hint="eastAsia" w:ascii="宋体" w:hAnsi="宋体" w:eastAsia="宋体" w:cs="宋体"/>
          <w:i w:val="0"/>
          <w:iCs w:val="0"/>
          <w:caps w:val="0"/>
          <w:color w:val="333333"/>
          <w:spacing w:val="0"/>
          <w:sz w:val="15"/>
          <w:szCs w:val="15"/>
          <w:bdr w:val="none" w:color="auto" w:sz="0" w:space="0"/>
          <w:shd w:val="clear" w:fill="FFFFFF"/>
          <w:vertAlign w:val="superscript"/>
        </w:rPr>
        <w:t>56</w:t>
      </w:r>
      <w:r>
        <w:rPr>
          <w:rFonts w:hint="eastAsia" w:ascii="宋体" w:hAnsi="宋体" w:eastAsia="宋体" w:cs="宋体"/>
          <w:i w:val="0"/>
          <w:iCs w:val="0"/>
          <w:caps w:val="0"/>
          <w:color w:val="333333"/>
          <w:spacing w:val="0"/>
          <w:sz w:val="24"/>
          <w:szCs w:val="24"/>
          <w:bdr w:val="none" w:color="auto" w:sz="0" w:space="0"/>
          <w:shd w:val="clear" w:fill="FFFFFF"/>
        </w:rPr>
        <w:t>等资金支持方式。强化以用促攻、攻用结合，一体推进技术研发、成果转化、标准研制、产业培育，加快攻关成果应用和产品迭代升级。</w:t>
      </w:r>
    </w:p>
    <w:tbl>
      <w:tblPr>
        <w:tblW w:w="88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595"/>
        <w:gridCol w:w="8255"/>
      </w:tblGrid>
      <w:tr w14:paraId="0B8FD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11239"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CFD3A5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Style w:val="6"/>
                <w:rFonts w:hint="eastAsia" w:ascii="宋体" w:hAnsi="宋体" w:eastAsia="宋体" w:cs="宋体"/>
                <w:i w:val="0"/>
                <w:iCs w:val="0"/>
                <w:caps w:val="0"/>
                <w:color w:val="333333"/>
                <w:spacing w:val="0"/>
                <w:sz w:val="24"/>
                <w:szCs w:val="24"/>
                <w:bdr w:val="none" w:color="auto" w:sz="0" w:space="0"/>
              </w:rPr>
              <w:t>专栏5  关键核心技术攻关行动</w:t>
            </w:r>
          </w:p>
        </w:tc>
      </w:tr>
      <w:tr w14:paraId="17912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7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483253E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01</w:t>
            </w:r>
          </w:p>
        </w:tc>
        <w:tc>
          <w:tcPr>
            <w:tcW w:w="819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36EE92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人工智能</w:t>
            </w:r>
          </w:p>
          <w:p w14:paraId="3FFE018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重点突破国产化人工智能算力芯片适配、异构算力动态调度技术，构建自主可控的智算中心架构。推动垂类大模型关键技术开发，加快机器人多模态感知、仿生灵巧手、自主学习决策等具身智能、智能无人系统领域关键技术突破，支持智能传感器及电子设计自动化（EDA）设计仿真工具、核心材料、先进工艺、关键设备等技术研发和产品攻关。</w:t>
            </w:r>
          </w:p>
        </w:tc>
      </w:tr>
      <w:tr w14:paraId="79A15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7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389B167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02</w:t>
            </w:r>
          </w:p>
        </w:tc>
        <w:tc>
          <w:tcPr>
            <w:tcW w:w="819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1E11CF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生物医药</w:t>
            </w:r>
          </w:p>
          <w:p w14:paraId="35C2945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加快开发新型疫苗、抗体药物、核酸药物、多肽药物、血液制品、小分子药物等生物药。开发基于新靶点、新分型、新机制化学类药物，攻克大品种、临床急需、高端仿制药制备技术。突破CRISPR-Cas基因编辑、碱基编辑疗法、细胞重编程等关键技术，加快基因药物、细胞药物研发。</w:t>
            </w:r>
          </w:p>
          <w:p w14:paraId="32084DB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加强器官医学研究攻关。强化器官发育、再生、功能调控及异种整合机理等基础理论研究，加快高精度器官芯片、智能化生物反应器、多模态器官功能监测与模拟系统等核心软硬件攻关，突破高性能生物相容性材料、仿生基质、微型化传感器等关键材料与零部件，攻克器官功能编辑与重建技术、跨尺度生物制造工艺、器官—机电解耦与融合调控算法等关键共性技术，构建从设计、制造到调控的全链条技术体系。</w:t>
            </w:r>
          </w:p>
        </w:tc>
      </w:tr>
      <w:tr w14:paraId="19E8E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7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32B92CD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03</w:t>
            </w:r>
          </w:p>
        </w:tc>
        <w:tc>
          <w:tcPr>
            <w:tcW w:w="819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A158A6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脑机接口</w:t>
            </w:r>
          </w:p>
          <w:p w14:paraId="37F34C8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开展脑机双向交互、神经功能修复、可穿戴脑机接口与神经调控等前沿技术研究，发展脑机接口超柔性电极、超低功耗芯片，突破脑信号采集、处理、通信等关键脑机芯片，研发面向特定任务的脑电解码与调控算法，支持微型、强生物相容性、高通量柔性电极及关键材料研发，加速脑电、肌电生理监测、脑磁图、闭环神经刺激和调控设备等侵入式、半侵入式核心仪器开发。</w:t>
            </w:r>
          </w:p>
        </w:tc>
      </w:tr>
      <w:tr w14:paraId="6DA6F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7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67BEE13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04</w:t>
            </w:r>
          </w:p>
        </w:tc>
        <w:tc>
          <w:tcPr>
            <w:tcW w:w="819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4F614B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量子科技</w:t>
            </w:r>
          </w:p>
          <w:p w14:paraId="1435C5E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以量子材料、量子计算、量子精密测量等领域为主攻方向，在量子效应调控、量子计算原型机、微波/重力测量、新型高温超导材料等技术方面实现突破。研制一批技术领先和自主化程度高的量子产品，拓展量子科技在生物、通信、能源、先进计算等领域应用，以应用带动科技与产业发展。</w:t>
            </w:r>
          </w:p>
        </w:tc>
      </w:tr>
      <w:tr w14:paraId="204BB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rPr>
        <w:tc>
          <w:tcPr>
            <w:tcW w:w="67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0669E6F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05</w:t>
            </w:r>
          </w:p>
        </w:tc>
        <w:tc>
          <w:tcPr>
            <w:tcW w:w="819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FE2C0C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深海深空</w:t>
            </w:r>
          </w:p>
          <w:p w14:paraId="7C22423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加强深海资源勘探、深海能源开发、深远海养殖等技术研究，开展海域天然气水合物勘查开发关键技术研究，加快深海潜航器、深海作业装备、深海智能无人平台等研制及应用，加强现代海洋牧场装备制造与技术研发。加强运载火箭、卫星平台及载荷、深空探测器、太空生命保障系统等领域技术突破，推动可回收运载火箭、卫星互联网平台、地面应用芯片、深空资源探测及开发等技术突破，加速商业化场景落地。</w:t>
            </w:r>
          </w:p>
        </w:tc>
      </w:tr>
      <w:tr w14:paraId="31B8D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7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758B67D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06</w:t>
            </w:r>
          </w:p>
        </w:tc>
        <w:tc>
          <w:tcPr>
            <w:tcW w:w="819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887DC7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高端科学仪器</w:t>
            </w:r>
          </w:p>
          <w:p w14:paraId="4BF7D08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加快高端科学仪器标志性整机、关键零部件等技术和产品突破。围绕生命科学、材料科学、电子信息等领域科研需求，加快分析仪器、物理性能测试仪器、光电测量仪器、智能在线检测设备等整机研发，发展数字聚合酶链式反应（PCR）仪、高分辨场发射扫描电镜、高端冷冻电镜、超分辨光学显微镜等前沿科学仪器。</w:t>
            </w:r>
          </w:p>
        </w:tc>
      </w:tr>
    </w:tbl>
    <w:p w14:paraId="0F15373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p>
    <w:p w14:paraId="5406BF7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第七章  强化企业科技创新主体地位</w:t>
      </w:r>
    </w:p>
    <w:p w14:paraId="6DF99D9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37BF8DC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从制度上落实企业科技创新主体地位，建立科技企业全周期发展支持体系，推动企业成为技术创新决策、研发投入、科研组织、成果转化主体。</w:t>
      </w:r>
    </w:p>
    <w:p w14:paraId="7FA7FA9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0181C8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集聚壮大创新型企业</w:t>
      </w:r>
    </w:p>
    <w:p w14:paraId="1D16EC7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5F005C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构建“科技和创新型中小企业—‘四上’高新技术企业—科技领军企业”梯度培育机制，加强创新型成长型新锐企业的遴选培育。实施科技领军企业倍增计划，遴选一批科研投入高、领军人才优、技术产品强的骨干企业予以重点培育。建好用好“广州科技GI”平台</w:t>
      </w:r>
      <w:r>
        <w:rPr>
          <w:rFonts w:hint="eastAsia" w:ascii="宋体" w:hAnsi="宋体" w:eastAsia="宋体" w:cs="宋体"/>
          <w:i w:val="0"/>
          <w:iCs w:val="0"/>
          <w:caps w:val="0"/>
          <w:color w:val="333333"/>
          <w:spacing w:val="0"/>
          <w:sz w:val="15"/>
          <w:szCs w:val="15"/>
          <w:bdr w:val="none" w:color="auto" w:sz="0" w:space="0"/>
          <w:shd w:val="clear" w:fill="FFFFFF"/>
          <w:vertAlign w:val="superscript"/>
        </w:rPr>
        <w:t>57</w:t>
      </w:r>
      <w:r>
        <w:rPr>
          <w:rFonts w:hint="eastAsia" w:ascii="宋体" w:hAnsi="宋体" w:eastAsia="宋体" w:cs="宋体"/>
          <w:i w:val="0"/>
          <w:iCs w:val="0"/>
          <w:caps w:val="0"/>
          <w:color w:val="333333"/>
          <w:spacing w:val="0"/>
          <w:sz w:val="24"/>
          <w:szCs w:val="24"/>
          <w:bdr w:val="none" w:color="auto" w:sz="0" w:space="0"/>
          <w:shd w:val="clear" w:fill="FFFFFF"/>
        </w:rPr>
        <w:t>，建立全市科技企业动态数据库，为企业提供政策精准推送服务。支持更多优质创新企业和科技服务企业上市，不断壮大上市和挂牌后备企业资源。</w:t>
      </w:r>
    </w:p>
    <w:p w14:paraId="43F9603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70170E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支持企业加大研发投入</w:t>
      </w:r>
    </w:p>
    <w:p w14:paraId="22E182E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0D077B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引导和鼓励企业建立研发平台，有效整合创新力量，组织开展产业和行业关键共性技术攻关。鼓励企业积极承担国家、省重点研发计划，支持产业龙头企业和科技领军企业牵头或参与实施市级科技计划。推动科技企业应享尽享科技型中小企业研发费用加计扣除、高新技术企业所得税减免等税费优惠政策。综合运用贴息、奖补、保险补贴等多元政策工具，鼓励企业加大前瞻性原创性研发投入。落实国有企业研发投入视同利润加回政策，引导市属国有企业建立健全科技创新研发投入长效机制。</w:t>
      </w:r>
    </w:p>
    <w:p w14:paraId="7D6B175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1E7907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第三节  加强企业为主体的产学研深度融合</w:t>
      </w:r>
    </w:p>
    <w:p w14:paraId="4956B95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7EF62B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坚持“企业出题、科研答题”，健全以企业为主体、市场为导向、产学研用深度融合的技术创新体系。进一步发挥企业作为技术攻关“出题人”“答卷人”和“阅卷人”主体作用，推动创新资源向企业集聚。出台创新联合体试点相关政策，支持科技领军企业、“链主”企业牵头，联合高校、科研院所及上下游企业组建创新联合体，聚焦制约产业和企业发展的关键共性“卡脖子”技术开展攻关破题，为产业创新持续提供关键共性技术支撑。</w:t>
      </w:r>
    </w:p>
    <w:p w14:paraId="3756FF9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7BA447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第八章  打造科技成果转化高地</w:t>
      </w:r>
    </w:p>
    <w:p w14:paraId="6C88C1B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A4593F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完善以市场化为导向的科技成果转化体系，建立科技成果清单、转化清单、项目清单，以战略科技力量为策源，以粤港澳大湾区国家技术创新中心和全国高校区域技术转移转化中心（粤港澳大湾区）广州分中心为枢纽，以科技型企业为承接，加强“政产学研金服用”协同，推动更多的科技成果转化为新质生产力。</w:t>
      </w:r>
    </w:p>
    <w:p w14:paraId="2E653B0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66593F2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健全科技成果转化机制</w:t>
      </w:r>
    </w:p>
    <w:p w14:paraId="6E84F66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1B95767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深入挖掘高校、科研院所存量科技成果资源。探索科研类事业单位实行企业化管理或允许科研人员离岗创办企业。推进职务科技成果“先用后转”，鼓励高校、科研机构、医疗卫生机构等单位按照先使用后付费、先试用后合作等方式把科技成果许可给中小微企业使用。深化职务科技成果赋权改革，推进职务科技成果资产单列管理。开展科技成果转化“补改投”试点，以“先投后股”“补改投”等模式支持优质科技项目或企业。在国有企业探索实施科技成果赋权、股权分红等中长期激励机制，支持国有科技型企业进一步提高研发团队及重要贡献人员对科技成果转化转让净收益的分享比例。</w:t>
      </w:r>
    </w:p>
    <w:p w14:paraId="27EE938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50744D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完善科技成果转化服务体系</w:t>
      </w:r>
    </w:p>
    <w:p w14:paraId="75B2541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450F25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完善概念验证、中试验证等共性技术服务平台布局，构建覆盖应用基础研究、技术熟化、工程化开发全链条的验证体系，新增30家功能定位明确、服务能力强、运营管理高效的中试验证平台。加强技术经理人队伍建设，开展技术经理人职称评审，壮大优质技术经理人队伍。探索成立科技成果转化集团，组建以技术经理人为主体，配套法律、知识产权、产业规划及技术专家等多领域人才的专业化服务团队，为企业承接科技成果开展精准推送与服务。构建“创投贷保服”科技金融体系，培育壮大长期资本、耐心资本</w:t>
      </w:r>
      <w:r>
        <w:rPr>
          <w:rFonts w:hint="eastAsia" w:ascii="宋体" w:hAnsi="宋体" w:eastAsia="宋体" w:cs="宋体"/>
          <w:i w:val="0"/>
          <w:iCs w:val="0"/>
          <w:caps w:val="0"/>
          <w:color w:val="333333"/>
          <w:spacing w:val="0"/>
          <w:sz w:val="15"/>
          <w:szCs w:val="15"/>
          <w:bdr w:val="none" w:color="auto" w:sz="0" w:space="0"/>
          <w:shd w:val="clear" w:fill="FFFFFF"/>
          <w:vertAlign w:val="superscript"/>
        </w:rPr>
        <w:t>58</w:t>
      </w:r>
      <w:r>
        <w:rPr>
          <w:rFonts w:hint="eastAsia" w:ascii="宋体" w:hAnsi="宋体" w:eastAsia="宋体" w:cs="宋体"/>
          <w:i w:val="0"/>
          <w:iCs w:val="0"/>
          <w:caps w:val="0"/>
          <w:color w:val="333333"/>
          <w:spacing w:val="0"/>
          <w:sz w:val="24"/>
          <w:szCs w:val="24"/>
          <w:bdr w:val="none" w:color="auto" w:sz="0" w:space="0"/>
          <w:shd w:val="clear" w:fill="FFFFFF"/>
        </w:rPr>
        <w:t>，有效激励投早、投小、投长期、投硬科技</w:t>
      </w:r>
      <w:r>
        <w:rPr>
          <w:rFonts w:hint="eastAsia" w:ascii="宋体" w:hAnsi="宋体" w:eastAsia="宋体" w:cs="宋体"/>
          <w:i w:val="0"/>
          <w:iCs w:val="0"/>
          <w:caps w:val="0"/>
          <w:color w:val="333333"/>
          <w:spacing w:val="0"/>
          <w:sz w:val="15"/>
          <w:szCs w:val="15"/>
          <w:bdr w:val="none" w:color="auto" w:sz="0" w:space="0"/>
          <w:shd w:val="clear" w:fill="FFFFFF"/>
          <w:vertAlign w:val="superscript"/>
        </w:rPr>
        <w:t>59</w:t>
      </w:r>
      <w:r>
        <w:rPr>
          <w:rFonts w:hint="eastAsia" w:ascii="宋体" w:hAnsi="宋体" w:eastAsia="宋体" w:cs="宋体"/>
          <w:i w:val="0"/>
          <w:iCs w:val="0"/>
          <w:caps w:val="0"/>
          <w:color w:val="333333"/>
          <w:spacing w:val="0"/>
          <w:sz w:val="24"/>
          <w:szCs w:val="24"/>
          <w:bdr w:val="none" w:color="auto" w:sz="0" w:space="0"/>
          <w:shd w:val="clear" w:fill="FFFFFF"/>
        </w:rPr>
        <w:t>，完善科技信贷与科技保险服务。加强高价值专利培育，提升PCT国际专利、战略性新兴产业发明专利等创造和储备，加快推动高校科研机构存量专利入库和转化，建好用好国家级知识产权保护中心、国家级产业知识产权运营中心等平台载体。完善首台（套）、首批次、首版次应用政策，加大政府采购自主创新产品力度。</w:t>
      </w:r>
    </w:p>
    <w:p w14:paraId="6B9D706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07B0F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第三节  建设科技成果转化基地</w:t>
      </w:r>
    </w:p>
    <w:p w14:paraId="0D0E57A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ABC7FC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打造“一核两翼”</w:t>
      </w:r>
      <w:r>
        <w:rPr>
          <w:rFonts w:hint="eastAsia" w:ascii="宋体" w:hAnsi="宋体" w:eastAsia="宋体" w:cs="宋体"/>
          <w:i w:val="0"/>
          <w:iCs w:val="0"/>
          <w:caps w:val="0"/>
          <w:color w:val="333333"/>
          <w:spacing w:val="0"/>
          <w:sz w:val="15"/>
          <w:szCs w:val="15"/>
          <w:bdr w:val="none" w:color="auto" w:sz="0" w:space="0"/>
          <w:shd w:val="clear" w:fill="FFFFFF"/>
          <w:vertAlign w:val="superscript"/>
        </w:rPr>
        <w:t>60</w:t>
      </w:r>
      <w:r>
        <w:rPr>
          <w:rFonts w:hint="eastAsia" w:ascii="宋体" w:hAnsi="宋体" w:eastAsia="宋体" w:cs="宋体"/>
          <w:i w:val="0"/>
          <w:iCs w:val="0"/>
          <w:caps w:val="0"/>
          <w:color w:val="333333"/>
          <w:spacing w:val="0"/>
          <w:sz w:val="24"/>
          <w:szCs w:val="24"/>
          <w:bdr w:val="none" w:color="auto" w:sz="0" w:space="0"/>
          <w:shd w:val="clear" w:fill="FFFFFF"/>
        </w:rPr>
        <w:t>科技成果转化高地，探索设立“科创特区”，实施包容审慎的柔性监管机制，在低空经济、人工智能、智能驾驶等新兴产业领域试点“沙盒监管”</w:t>
      </w:r>
      <w:r>
        <w:rPr>
          <w:rFonts w:hint="eastAsia" w:ascii="宋体" w:hAnsi="宋体" w:eastAsia="宋体" w:cs="宋体"/>
          <w:i w:val="0"/>
          <w:iCs w:val="0"/>
          <w:caps w:val="0"/>
          <w:color w:val="333333"/>
          <w:spacing w:val="0"/>
          <w:sz w:val="15"/>
          <w:szCs w:val="15"/>
          <w:bdr w:val="none" w:color="auto" w:sz="0" w:space="0"/>
          <w:shd w:val="clear" w:fill="FFFFFF"/>
          <w:vertAlign w:val="superscript"/>
        </w:rPr>
        <w:t>61</w:t>
      </w:r>
      <w:r>
        <w:rPr>
          <w:rFonts w:hint="eastAsia" w:ascii="宋体" w:hAnsi="宋体" w:eastAsia="宋体" w:cs="宋体"/>
          <w:i w:val="0"/>
          <w:iCs w:val="0"/>
          <w:caps w:val="0"/>
          <w:color w:val="333333"/>
          <w:spacing w:val="0"/>
          <w:sz w:val="24"/>
          <w:szCs w:val="24"/>
          <w:bdr w:val="none" w:color="auto" w:sz="0" w:space="0"/>
          <w:shd w:val="clear" w:fill="FFFFFF"/>
        </w:rPr>
        <w:t>模式，加快育成新技术、新产品、新业态。充分发挥粤港澳大湾区国家技术创新中心“总平台、总链长”功能，整合在穗优质创新资源，统筹开展技术攻关与成果转化。高标准建设全国高校区域技术转移转化中心（粤港澳大湾区）广州分中心，推进生物医药、高端科学仪器、陆空一体化智能出行3家产业分中心正式运营，打造统筹全市高等院校科技成果转化的综合枢纽。推动环五山创新策源区提质增效发展，引导高校建设大学科技园，强化产学研联动，促进科技成果就近转移转化。加快广州颠覆性技术创新中心、穗港澳协同创新中心、环港科大（广州）创新区、广州（国际）科技成果转化天河基地、全国重点实验室大湾区技术转移转化中心等科技成果转移转化平台建设，在颠覆性创新成果转化、港澳和海外科技成果在穗转化等方面加快形成可复制推广的经验模式。</w:t>
      </w:r>
    </w:p>
    <w:p w14:paraId="4C159C0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3D88D5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第九章  做强粤港澳大湾区高水平人才高地“主引擎”</w:t>
      </w:r>
    </w:p>
    <w:p w14:paraId="3A0C087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E0AAB1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健全一体推进教育科技人才协调工作机制，实施更加积极、更加开放、更加有效的人才政策，营造精准引才、精细育才、精心用才、精诚留才的人才发展环境，提升人才吸引力、竞争力，推动人才强市建设整体跃升。</w:t>
      </w:r>
    </w:p>
    <w:p w14:paraId="024315F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73DA21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创新人才培养机制</w:t>
      </w:r>
    </w:p>
    <w:p w14:paraId="7458975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38D593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围绕科技创新、产业发展和国家战略需求协同育人。支持高校布局一批急需学科专业，加强基础学科、新兴学科、交叉学科建设，建好用好国家交叉学科中心，探索前沿产业拔尖人才培育和“新工科”教育</w:t>
      </w:r>
      <w:r>
        <w:rPr>
          <w:rFonts w:hint="eastAsia" w:ascii="宋体" w:hAnsi="宋体" w:eastAsia="宋体" w:cs="宋体"/>
          <w:i w:val="0"/>
          <w:iCs w:val="0"/>
          <w:caps w:val="0"/>
          <w:color w:val="333333"/>
          <w:spacing w:val="0"/>
          <w:sz w:val="15"/>
          <w:szCs w:val="15"/>
          <w:bdr w:val="none" w:color="auto" w:sz="0" w:space="0"/>
          <w:shd w:val="clear" w:fill="FFFFFF"/>
          <w:vertAlign w:val="superscript"/>
        </w:rPr>
        <w:t>62</w:t>
      </w:r>
      <w:r>
        <w:rPr>
          <w:rFonts w:hint="eastAsia" w:ascii="宋体" w:hAnsi="宋体" w:eastAsia="宋体" w:cs="宋体"/>
          <w:i w:val="0"/>
          <w:iCs w:val="0"/>
          <w:caps w:val="0"/>
          <w:color w:val="333333"/>
          <w:spacing w:val="0"/>
          <w:sz w:val="24"/>
          <w:szCs w:val="24"/>
          <w:bdr w:val="none" w:color="auto" w:sz="0" w:space="0"/>
          <w:shd w:val="clear" w:fill="FFFFFF"/>
        </w:rPr>
        <w:t>改革。谋划建设环五山教育科技人才一体发展实验区，加强复合型、应用型、创新型人才培养。鼓励高校院所设立未来技术学院，着力培养人工智能、数据科学与大数据技术等新兴领域人才。深化国家产教融合试点城市建设。强化在穗科研机构、创新平台、企业、科技计划人才集聚培养功能，培育拔尖创新人才。推进科学普及高质量供给，全面提高公民科学素质和能力。深化工程硕博士培养改革试点。加强产业工人队伍建设改革，深入实施重点产业人才开发培育工程，推动形成“一区一赛道、一业一劲旅”人才发展格局</w:t>
      </w:r>
      <w:r>
        <w:rPr>
          <w:rFonts w:hint="eastAsia" w:ascii="宋体" w:hAnsi="宋体" w:eastAsia="宋体" w:cs="宋体"/>
          <w:i w:val="0"/>
          <w:iCs w:val="0"/>
          <w:caps w:val="0"/>
          <w:color w:val="333333"/>
          <w:spacing w:val="0"/>
          <w:sz w:val="15"/>
          <w:szCs w:val="15"/>
          <w:bdr w:val="none" w:color="auto" w:sz="0" w:space="0"/>
          <w:shd w:val="clear" w:fill="FFFFFF"/>
          <w:vertAlign w:val="superscript"/>
        </w:rPr>
        <w:t>63</w:t>
      </w:r>
      <w:r>
        <w:rPr>
          <w:rFonts w:hint="eastAsia" w:ascii="宋体" w:hAnsi="宋体" w:eastAsia="宋体" w:cs="宋体"/>
          <w:i w:val="0"/>
          <w:iCs w:val="0"/>
          <w:caps w:val="0"/>
          <w:color w:val="333333"/>
          <w:spacing w:val="0"/>
          <w:sz w:val="24"/>
          <w:szCs w:val="24"/>
          <w:bdr w:val="none" w:color="auto" w:sz="0" w:space="0"/>
          <w:shd w:val="clear" w:fill="FFFFFF"/>
        </w:rPr>
        <w:t>。</w:t>
      </w:r>
    </w:p>
    <w:p w14:paraId="22FA314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A158E3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集聚海内外高层次人才</w:t>
      </w:r>
    </w:p>
    <w:p w14:paraId="6DBA89A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9326D5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实施“百万英才汇南粤”广州行动计划</w:t>
      </w:r>
      <w:r>
        <w:rPr>
          <w:rFonts w:hint="eastAsia" w:ascii="宋体" w:hAnsi="宋体" w:eastAsia="宋体" w:cs="宋体"/>
          <w:i w:val="0"/>
          <w:iCs w:val="0"/>
          <w:caps w:val="0"/>
          <w:color w:val="333333"/>
          <w:spacing w:val="0"/>
          <w:sz w:val="15"/>
          <w:szCs w:val="15"/>
          <w:bdr w:val="none" w:color="auto" w:sz="0" w:space="0"/>
          <w:shd w:val="clear" w:fill="FFFFFF"/>
          <w:vertAlign w:val="superscript"/>
        </w:rPr>
        <w:t>64</w:t>
      </w:r>
      <w:r>
        <w:rPr>
          <w:rFonts w:hint="eastAsia" w:ascii="宋体" w:hAnsi="宋体" w:eastAsia="宋体" w:cs="宋体"/>
          <w:i w:val="0"/>
          <w:iCs w:val="0"/>
          <w:caps w:val="0"/>
          <w:color w:val="333333"/>
          <w:spacing w:val="0"/>
          <w:sz w:val="24"/>
          <w:szCs w:val="24"/>
          <w:bdr w:val="none" w:color="auto" w:sz="0" w:space="0"/>
          <w:shd w:val="clear" w:fill="FFFFFF"/>
        </w:rPr>
        <w:t>，深入推进“广聚英才”人才工程，加快引育一批具有全球号召力和国际视野的战略科学家、一流科技领军人才和创新团队。实行产业紧缺人才清单制度，靶向引进一批“高精尖缺”人才和团队，提升引才精准度和产业适配度。加快建设中新广州知识城国际人才自由港、南沙国际化人才特区、国家海外人才离岸创新创业基地等平台。加强人才国际联合培养，推动粤港澳人才协同发展，促进与港澳联引共用国际人才。</w:t>
      </w:r>
    </w:p>
    <w:p w14:paraId="7919A3E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AD11CE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第三节  营造一流人才发展环境</w:t>
      </w:r>
    </w:p>
    <w:p w14:paraId="426F793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C400F6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构建更加科学有效的人才评价和激励机制。完善高层次人才评价制度，建立以创新能力、质量、实效、贡献为导向的人才评价体系。鼓励企业创新人才评价制度，推进行业头部企业开展职业技能自主评价。推行更加灵活的人才使用机制，支持符合条件的高校、科研院所自主评定职称，畅通高校、科研院所和企业人才交流通道。健全保障科研人员专心科研制度，深化科技创新激励改革，完善充分体现知识、技术等创新要素价值的分配机制，加大对贡献突出人才的倾斜力度。优化青年创新人才发现、选拔、培养机制，更好保障青年科技人员待遇。</w:t>
      </w:r>
    </w:p>
    <w:p w14:paraId="0EF4CDB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打造更加宜居宜业的人才支持和保障体系。强化“穗岁平安”综合服务保障</w:t>
      </w:r>
      <w:r>
        <w:rPr>
          <w:rFonts w:hint="eastAsia" w:ascii="宋体" w:hAnsi="宋体" w:eastAsia="宋体" w:cs="宋体"/>
          <w:i w:val="0"/>
          <w:iCs w:val="0"/>
          <w:caps w:val="0"/>
          <w:color w:val="333333"/>
          <w:spacing w:val="0"/>
          <w:sz w:val="15"/>
          <w:szCs w:val="15"/>
          <w:bdr w:val="none" w:color="auto" w:sz="0" w:space="0"/>
          <w:shd w:val="clear" w:fill="FFFFFF"/>
          <w:vertAlign w:val="superscript"/>
        </w:rPr>
        <w:t>65</w:t>
      </w:r>
      <w:r>
        <w:rPr>
          <w:rFonts w:hint="eastAsia" w:ascii="宋体" w:hAnsi="宋体" w:eastAsia="宋体" w:cs="宋体"/>
          <w:i w:val="0"/>
          <w:iCs w:val="0"/>
          <w:caps w:val="0"/>
          <w:color w:val="333333"/>
          <w:spacing w:val="0"/>
          <w:sz w:val="24"/>
          <w:szCs w:val="24"/>
          <w:bdr w:val="none" w:color="auto" w:sz="0" w:space="0"/>
          <w:shd w:val="clear" w:fill="FFFFFF"/>
        </w:rPr>
        <w:t>政策，加大优质公共服务资源供给，坚持分类施策、精准服务，加强各类人才住房安居、医疗健康等服务保障。落实粤港澳大湾区个人所得税优惠政策、广州南沙港澳居民个人所得税优惠政策。健全与国际接轨的海外人才服务保障机制，推进外国人才服务保障综合配套改革试点，完善便利国际人才工作生活的配套措施，为国际人才提供一站式服务。健全与国际接轨的高层次人才招聘、薪酬、评价、考核、科研资助、社会保障等制度，推动形成具有国际竞争力的人才制度体系。</w:t>
      </w:r>
    </w:p>
    <w:p w14:paraId="3E9F0EE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3B5E23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第四篇  统筹推动内外贸创新协同发展，增强国际商贸中心资源配置能力</w:t>
      </w:r>
    </w:p>
    <w:p w14:paraId="4715DAA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8D26C2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整合发挥全国先进制造业基地产业优势、国际消费中心城市市场规模优势、国际综合交通枢纽流量优势，持续优化内外贸结构、创新内外贸模式、提升内外贸能级，全面增强广州国际商贸中心核心功能，更好服务和融入新发展格局。</w:t>
      </w:r>
    </w:p>
    <w:p w14:paraId="55ED28D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09423E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第十章  建设高能级国际供应链创新中心</w:t>
      </w:r>
    </w:p>
    <w:p w14:paraId="4532C67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66BAAF5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统筹推进专业市场转型、大宗商品贸易提质、供应链“链主”企业壮大、现代物流体系完善，加快构建产供销有机衔接和内外贸有效贯通的现代供应链体系，推动广州商贸业迭代升级、焕发新活力。</w:t>
      </w:r>
    </w:p>
    <w:p w14:paraId="6AF50E2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1C1765F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加快专业市场转型升级</w:t>
      </w:r>
    </w:p>
    <w:p w14:paraId="2326481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48B5EC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实施业态升级、场景焕新、合规提质等专项行动，加快发展特色鲜明、知名度高、竞争力强的高能级现代化专业市场，推动流花、站前、沙河、三元里等专业市场商圈拓能升级，完善专业市场交通、物流、仓储、酒店等商贸基础设施配套。鼓励专业市场对接或自主搭建产业互联网、消费互联网平台，促进商户上云用数赋智，加快数智化转型。支持专业市场“走出去”，推广跨境电商、市场采购贸易</w:t>
      </w:r>
      <w:r>
        <w:rPr>
          <w:rFonts w:hint="eastAsia" w:ascii="宋体" w:hAnsi="宋体" w:eastAsia="宋体" w:cs="宋体"/>
          <w:i w:val="0"/>
          <w:iCs w:val="0"/>
          <w:caps w:val="0"/>
          <w:color w:val="333333"/>
          <w:spacing w:val="0"/>
          <w:sz w:val="15"/>
          <w:szCs w:val="15"/>
          <w:bdr w:val="none" w:color="auto" w:sz="0" w:space="0"/>
          <w:shd w:val="clear" w:fill="FFFFFF"/>
          <w:vertAlign w:val="superscript"/>
        </w:rPr>
        <w:t>66</w:t>
      </w:r>
      <w:r>
        <w:rPr>
          <w:rFonts w:hint="eastAsia" w:ascii="宋体" w:hAnsi="宋体" w:eastAsia="宋体" w:cs="宋体"/>
          <w:i w:val="0"/>
          <w:iCs w:val="0"/>
          <w:caps w:val="0"/>
          <w:color w:val="333333"/>
          <w:spacing w:val="0"/>
          <w:sz w:val="24"/>
          <w:szCs w:val="24"/>
          <w:bdr w:val="none" w:color="auto" w:sz="0" w:space="0"/>
          <w:shd w:val="clear" w:fill="FFFFFF"/>
        </w:rPr>
        <w:t>等贸易方式，打造国际商品集散中心。引导专业市场引入文化展示、休闲商业等功能，打造批零融合的特色产业消费集聚区。完善专业市场建设运营标准，强化知识产权保护体系建设。支持中心城区空间拓展受限、配套功能滞后的专业市场有序向外围区转移。</w:t>
      </w:r>
    </w:p>
    <w:p w14:paraId="7734A65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10E9F7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推动大宗商品贸易提质发展</w:t>
      </w:r>
    </w:p>
    <w:p w14:paraId="60497CF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DE38D9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加强天然气、粮食、金属、煤、燃料油等大宗商品储运、加工、交易设施建设，不断提升南沙、黄埔大宗商品流通集散能力，争创国家大宗商品资源配置枢纽。推动广州商品交易所、广州化工交易中心等大宗商品交易平台丰富业务品种、扩大交易规模，打造“大宗商品交易+供应链服务”平台。支持设立上海期货交易所成品油、沥青、铜等保税交割仓库，存储交割大宗商品。完善金融保险、口岸通关、跨境结算等大宗商品贸易服务体系，加强大宗商品贸易风险预警与防控，支持大宗商品贸易企业发展壮大。鼓励大宗商品供应链联盟构建垂直整合产业生态，形成大宗商品“链式竞争”</w:t>
      </w:r>
      <w:r>
        <w:rPr>
          <w:rFonts w:hint="eastAsia" w:ascii="宋体" w:hAnsi="宋体" w:eastAsia="宋体" w:cs="宋体"/>
          <w:i w:val="0"/>
          <w:iCs w:val="0"/>
          <w:caps w:val="0"/>
          <w:color w:val="333333"/>
          <w:spacing w:val="0"/>
          <w:sz w:val="15"/>
          <w:szCs w:val="15"/>
          <w:bdr w:val="none" w:color="auto" w:sz="0" w:space="0"/>
          <w:shd w:val="clear" w:fill="FFFFFF"/>
          <w:vertAlign w:val="superscript"/>
        </w:rPr>
        <w:t>67</w:t>
      </w:r>
      <w:r>
        <w:rPr>
          <w:rFonts w:hint="eastAsia" w:ascii="宋体" w:hAnsi="宋体" w:eastAsia="宋体" w:cs="宋体"/>
          <w:i w:val="0"/>
          <w:iCs w:val="0"/>
          <w:caps w:val="0"/>
          <w:color w:val="333333"/>
          <w:spacing w:val="0"/>
          <w:sz w:val="24"/>
          <w:szCs w:val="24"/>
          <w:bdr w:val="none" w:color="auto" w:sz="0" w:space="0"/>
          <w:shd w:val="clear" w:fill="FFFFFF"/>
        </w:rPr>
        <w:t>优势。</w:t>
      </w:r>
    </w:p>
    <w:p w14:paraId="6B718CE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D7286F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第三节  壮大供应链“链主”企业</w:t>
      </w:r>
    </w:p>
    <w:p w14:paraId="18E1146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3E6088B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鼓励供应链龙头企业创新供应链发展模式，在穗做大业务规模，推动花都阿里巴巴新零售供应链华南总部、黄埔京东智能供应链产业基地等项目加快建设。完善金融保险、口岸通关、仓储用地等支持政策，引育一批制造主导型、分销主导型、物流主导型等具有生态主导力和国际竞争力的供应链“链主”企业。鼓励重点国有外贸企业整合业务资源，开拓国际供应链业务。支持大宗商品、农产品、消费品等领域龙头企业建设集采购、物流、分销、结算等功能于一体的供应链综合管理服务平台，向“供应链综合服务商”转型升级。</w:t>
      </w:r>
    </w:p>
    <w:p w14:paraId="31A8629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6C5AE64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第四节  构建服务全国链接全球的现代物流体系</w:t>
      </w:r>
    </w:p>
    <w:p w14:paraId="2BD74C8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11FF93F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完善“5+10+N”物流枢纽布局</w:t>
      </w:r>
      <w:r>
        <w:rPr>
          <w:rFonts w:hint="eastAsia" w:ascii="宋体" w:hAnsi="宋体" w:eastAsia="宋体" w:cs="宋体"/>
          <w:i w:val="0"/>
          <w:iCs w:val="0"/>
          <w:caps w:val="0"/>
          <w:color w:val="333333"/>
          <w:spacing w:val="0"/>
          <w:sz w:val="15"/>
          <w:szCs w:val="15"/>
          <w:bdr w:val="none" w:color="auto" w:sz="0" w:space="0"/>
          <w:shd w:val="clear" w:fill="FFFFFF"/>
          <w:vertAlign w:val="superscript"/>
        </w:rPr>
        <w:t>68</w:t>
      </w:r>
      <w:r>
        <w:rPr>
          <w:rFonts w:hint="eastAsia" w:ascii="宋体" w:hAnsi="宋体" w:eastAsia="宋体" w:cs="宋体"/>
          <w:i w:val="0"/>
          <w:iCs w:val="0"/>
          <w:caps w:val="0"/>
          <w:color w:val="333333"/>
          <w:spacing w:val="0"/>
          <w:sz w:val="24"/>
          <w:szCs w:val="24"/>
          <w:bdr w:val="none" w:color="auto" w:sz="0" w:space="0"/>
          <w:shd w:val="clear" w:fill="FFFFFF"/>
        </w:rPr>
        <w:t>，加快建设广州国际港、中国邮政大湾区枢纽等项目，提升空港型、港口型、生产服务型、商贸服务型国家物流枢纽和国家骨干冷链物流基地能级，构建设施提质扩能、服务创新开放、体系安全高效的国际物流枢纽。完善陆海空联动、高效快速通达的国际物流通道，支持各类主体布局海外仓等流通基础设施，持续拓展辐射国内外的物流与供应链网络。与重庆、长沙、南宁等国家物流枢纽承载城市共同谋划打造粮食、煤炭、油品、铁矿石及重要工业品等的骨干流通走廊，不断提升国家综合型现代流通战略支点城市的辐射力和影响力。持续推进物流降本增效行动，加强多式联运设施、标准建设和信息共享，大力推进多式联运“一单制”、集装箱运输“一箱制”</w:t>
      </w:r>
      <w:r>
        <w:rPr>
          <w:rFonts w:hint="eastAsia" w:ascii="宋体" w:hAnsi="宋体" w:eastAsia="宋体" w:cs="宋体"/>
          <w:i w:val="0"/>
          <w:iCs w:val="0"/>
          <w:caps w:val="0"/>
          <w:color w:val="333333"/>
          <w:spacing w:val="0"/>
          <w:sz w:val="15"/>
          <w:szCs w:val="15"/>
          <w:bdr w:val="none" w:color="auto" w:sz="0" w:space="0"/>
          <w:shd w:val="clear" w:fill="FFFFFF"/>
          <w:vertAlign w:val="superscript"/>
        </w:rPr>
        <w:t>69</w:t>
      </w:r>
      <w:r>
        <w:rPr>
          <w:rFonts w:hint="eastAsia" w:ascii="宋体" w:hAnsi="宋体" w:eastAsia="宋体" w:cs="宋体"/>
          <w:i w:val="0"/>
          <w:iCs w:val="0"/>
          <w:caps w:val="0"/>
          <w:color w:val="333333"/>
          <w:spacing w:val="0"/>
          <w:sz w:val="24"/>
          <w:szCs w:val="24"/>
          <w:bdr w:val="none" w:color="auto" w:sz="0" w:space="0"/>
          <w:shd w:val="clear" w:fill="FFFFFF"/>
        </w:rPr>
        <w:t>发展，创新通关查验模式，推广“双前置”物流货站模式</w:t>
      </w:r>
      <w:r>
        <w:rPr>
          <w:rFonts w:hint="eastAsia" w:ascii="宋体" w:hAnsi="宋体" w:eastAsia="宋体" w:cs="宋体"/>
          <w:i w:val="0"/>
          <w:iCs w:val="0"/>
          <w:caps w:val="0"/>
          <w:color w:val="333333"/>
          <w:spacing w:val="0"/>
          <w:sz w:val="15"/>
          <w:szCs w:val="15"/>
          <w:bdr w:val="none" w:color="auto" w:sz="0" w:space="0"/>
          <w:shd w:val="clear" w:fill="FFFFFF"/>
          <w:vertAlign w:val="superscript"/>
        </w:rPr>
        <w:t>70</w:t>
      </w:r>
      <w:r>
        <w:rPr>
          <w:rFonts w:hint="eastAsia" w:ascii="宋体" w:hAnsi="宋体" w:eastAsia="宋体" w:cs="宋体"/>
          <w:i w:val="0"/>
          <w:iCs w:val="0"/>
          <w:caps w:val="0"/>
          <w:color w:val="333333"/>
          <w:spacing w:val="0"/>
          <w:sz w:val="24"/>
          <w:szCs w:val="24"/>
          <w:bdr w:val="none" w:color="auto" w:sz="0" w:space="0"/>
          <w:shd w:val="clear" w:fill="FFFFFF"/>
        </w:rPr>
        <w:t>，推动集约化通关查验作业。发展壮大无人配送、低空物流、即时零售等物流新业态，支持家电、医药、汽车、大宗商品、冷链、再生资源回收等专业化物流发展。</w:t>
      </w:r>
    </w:p>
    <w:p w14:paraId="4EECE76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68D9F22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第十一章  建设更富活力国际消费中心城市</w:t>
      </w:r>
    </w:p>
    <w:p w14:paraId="1396A33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1E6AFFD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深入实施提振消费专项行动，完善促进消费体制机制，全方位提升城市消费吸引力，面向全国全球扩大消费，建设更富活力的国际消费中心城市，支撑建设强大国内市场。</w:t>
      </w:r>
    </w:p>
    <w:p w14:paraId="44A6B94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05799D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467F45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打造国际范时尚化城市消费地标</w:t>
      </w:r>
    </w:p>
    <w:p w14:paraId="6E407C5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F3A386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加强“5+2+4”国际知名商圈建设，鼓励消费基础设施和消费服务功能提升类设施建设，促进传统购物场所智慧化、体验化转型，打造一批“食住文体游娱购”多业态融合的商圈地标。大力发展“时尚经济”“首发经济”</w:t>
      </w:r>
      <w:r>
        <w:rPr>
          <w:rFonts w:hint="eastAsia" w:ascii="宋体" w:hAnsi="宋体" w:eastAsia="宋体" w:cs="宋体"/>
          <w:i w:val="0"/>
          <w:iCs w:val="0"/>
          <w:caps w:val="0"/>
          <w:color w:val="333333"/>
          <w:spacing w:val="0"/>
          <w:sz w:val="15"/>
          <w:szCs w:val="15"/>
          <w:bdr w:val="none" w:color="auto" w:sz="0" w:space="0"/>
          <w:shd w:val="clear" w:fill="FFFFFF"/>
          <w:vertAlign w:val="superscript"/>
        </w:rPr>
        <w:t>71</w:t>
      </w:r>
      <w:r>
        <w:rPr>
          <w:rFonts w:hint="eastAsia" w:ascii="宋体" w:hAnsi="宋体" w:eastAsia="宋体" w:cs="宋体"/>
          <w:i w:val="0"/>
          <w:iCs w:val="0"/>
          <w:caps w:val="0"/>
          <w:color w:val="333333"/>
          <w:spacing w:val="0"/>
          <w:sz w:val="24"/>
          <w:szCs w:val="24"/>
          <w:bdr w:val="none" w:color="auto" w:sz="0" w:space="0"/>
          <w:shd w:val="clear" w:fill="FFFFFF"/>
        </w:rPr>
        <w:t>“夜间经济”“免税经济”</w:t>
      </w:r>
      <w:r>
        <w:rPr>
          <w:rFonts w:hint="eastAsia" w:ascii="宋体" w:hAnsi="宋体" w:eastAsia="宋体" w:cs="宋体"/>
          <w:i w:val="0"/>
          <w:iCs w:val="0"/>
          <w:caps w:val="0"/>
          <w:color w:val="333333"/>
          <w:spacing w:val="0"/>
          <w:sz w:val="15"/>
          <w:szCs w:val="15"/>
          <w:bdr w:val="none" w:color="auto" w:sz="0" w:space="0"/>
          <w:shd w:val="clear" w:fill="FFFFFF"/>
          <w:vertAlign w:val="superscript"/>
        </w:rPr>
        <w:t>72</w:t>
      </w:r>
      <w:r>
        <w:rPr>
          <w:rFonts w:hint="eastAsia" w:ascii="宋体" w:hAnsi="宋体" w:eastAsia="宋体" w:cs="宋体"/>
          <w:i w:val="0"/>
          <w:iCs w:val="0"/>
          <w:caps w:val="0"/>
          <w:color w:val="333333"/>
          <w:spacing w:val="0"/>
          <w:sz w:val="24"/>
          <w:szCs w:val="24"/>
          <w:bdr w:val="none" w:color="auto" w:sz="0" w:space="0"/>
          <w:shd w:val="clear" w:fill="FFFFFF"/>
        </w:rPr>
        <w:t>“演艺经济”</w:t>
      </w:r>
      <w:r>
        <w:rPr>
          <w:rFonts w:hint="eastAsia" w:ascii="宋体" w:hAnsi="宋体" w:eastAsia="宋体" w:cs="宋体"/>
          <w:i w:val="0"/>
          <w:iCs w:val="0"/>
          <w:caps w:val="0"/>
          <w:color w:val="333333"/>
          <w:spacing w:val="0"/>
          <w:sz w:val="15"/>
          <w:szCs w:val="15"/>
          <w:bdr w:val="none" w:color="auto" w:sz="0" w:space="0"/>
          <w:shd w:val="clear" w:fill="FFFFFF"/>
          <w:vertAlign w:val="superscript"/>
        </w:rPr>
        <w:t>73</w:t>
      </w:r>
      <w:r>
        <w:rPr>
          <w:rFonts w:hint="eastAsia" w:ascii="宋体" w:hAnsi="宋体" w:eastAsia="宋体" w:cs="宋体"/>
          <w:i w:val="0"/>
          <w:iCs w:val="0"/>
          <w:caps w:val="0"/>
          <w:color w:val="333333"/>
          <w:spacing w:val="0"/>
          <w:sz w:val="24"/>
          <w:szCs w:val="24"/>
          <w:bdr w:val="none" w:color="auto" w:sz="0" w:space="0"/>
          <w:shd w:val="clear" w:fill="FFFFFF"/>
        </w:rPr>
        <w:t>“国潮经济”</w:t>
      </w:r>
      <w:r>
        <w:rPr>
          <w:rFonts w:hint="eastAsia" w:ascii="宋体" w:hAnsi="宋体" w:eastAsia="宋体" w:cs="宋体"/>
          <w:i w:val="0"/>
          <w:iCs w:val="0"/>
          <w:caps w:val="0"/>
          <w:color w:val="333333"/>
          <w:spacing w:val="0"/>
          <w:sz w:val="15"/>
          <w:szCs w:val="15"/>
          <w:bdr w:val="none" w:color="auto" w:sz="0" w:space="0"/>
          <w:shd w:val="clear" w:fill="FFFFFF"/>
          <w:vertAlign w:val="superscript"/>
        </w:rPr>
        <w:t>74</w:t>
      </w:r>
      <w:r>
        <w:rPr>
          <w:rFonts w:hint="eastAsia" w:ascii="宋体" w:hAnsi="宋体" w:eastAsia="宋体" w:cs="宋体"/>
          <w:i w:val="0"/>
          <w:iCs w:val="0"/>
          <w:caps w:val="0"/>
          <w:color w:val="333333"/>
          <w:spacing w:val="0"/>
          <w:sz w:val="24"/>
          <w:szCs w:val="24"/>
          <w:bdr w:val="none" w:color="auto" w:sz="0" w:space="0"/>
          <w:shd w:val="clear" w:fill="FFFFFF"/>
        </w:rPr>
        <w:t>，打造一批特色消费地标。建设天河路、珠江新城、沙面、白鹅潭等时尚首发经济集聚地，加强全球时尚首店、首发、首秀、首展策划。深化正佳广场、长隆、广州塔—琶醍等夜间消费集聚区建设，推动夜游、夜娱、夜购、夜宵等融合发展，丰富夜间经济业态供给。推动市内免税店及离境退税商店扩围拓品，打造一批离境退税特色街区。</w:t>
      </w:r>
    </w:p>
    <w:tbl>
      <w:tblPr>
        <w:tblW w:w="916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568"/>
        <w:gridCol w:w="8597"/>
      </w:tblGrid>
      <w:tr w14:paraId="2F242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rPr>
        <w:tc>
          <w:tcPr>
            <w:tcW w:w="11239"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BB342B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Style w:val="6"/>
                <w:rFonts w:hint="eastAsia" w:ascii="宋体" w:hAnsi="宋体" w:eastAsia="宋体" w:cs="宋体"/>
                <w:i w:val="0"/>
                <w:iCs w:val="0"/>
                <w:caps w:val="0"/>
                <w:color w:val="333333"/>
                <w:spacing w:val="0"/>
                <w:sz w:val="24"/>
                <w:szCs w:val="24"/>
                <w:bdr w:val="none" w:color="auto" w:sz="0" w:space="0"/>
              </w:rPr>
              <w:t>专栏6  “5+2+4”国际知名商圈建设行动</w:t>
            </w:r>
          </w:p>
        </w:tc>
      </w:tr>
      <w:tr w14:paraId="3BC66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0E3B43B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01</w:t>
            </w:r>
          </w:p>
        </w:tc>
        <w:tc>
          <w:tcPr>
            <w:tcW w:w="855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92DFA8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5个世界级地标商圈（天河路—珠江新城、广州塔—琶洲、金融城—黄埔湾、长隆—万博、白鹅潭）</w:t>
            </w:r>
          </w:p>
          <w:p w14:paraId="5891F41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建设珠江太古里、华润万象城等高端商业综合体，加快马场地块开发，提高金融城岭南风情街、广州塔南广场等商业运营品质，大力吸引知名品牌开设高能级的区域首店、旗舰店、创新概念店，发展免税购物、保税展贸、跨境电商线下体验等新业态，提升消费能级与国际吸引力。</w:t>
            </w:r>
          </w:p>
        </w:tc>
      </w:tr>
      <w:tr w14:paraId="4D34A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3A25CD5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02</w:t>
            </w:r>
          </w:p>
        </w:tc>
        <w:tc>
          <w:tcPr>
            <w:tcW w:w="855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65355E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2个具有世界影响力的岭南特色商圈（北京路—海珠广场、大西关）</w:t>
            </w:r>
          </w:p>
          <w:p w14:paraId="31C7BB4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建设北京路步行街商业主轴、海珠广场至文德路慢行休闲轴，提升上下九路步行街、恩宁路周边街区体验和风貌，培育集聚更多具有岭南文化特色的潮流首店，大力开发特色文创商品，焕新老字号品牌，孵化特色品牌，加快发展“文化体验+时尚消费+休闲娱乐”新型消费。</w:t>
            </w:r>
          </w:p>
        </w:tc>
      </w:tr>
      <w:tr w14:paraId="30059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61D85EC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03</w:t>
            </w:r>
          </w:p>
        </w:tc>
        <w:tc>
          <w:tcPr>
            <w:tcW w:w="855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7C6E1D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4个枢纽型国际商圈（广州北站—白云机场、广州南站、广州东部枢纽、南沙湾〔广州南沙国际邮轮母港〕）</w:t>
            </w:r>
          </w:p>
          <w:p w14:paraId="15D6779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促进枢纽各类交通高效衔接，大力引入商业商务、文化服务、休闲娱乐等功能，丰富特色餐饮、高端酒店、新型商业等项目供给；优化白云机场免税店布局，提升购买全球免税商品便利度。推动广州南沙国际邮轮母港航线多样化，争取增加入境游航次，打造邮轮经济与商旅文体健融合发展创新样板。</w:t>
            </w:r>
          </w:p>
        </w:tc>
      </w:tr>
    </w:tbl>
    <w:p w14:paraId="5BC8661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90C9D7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激发消费活力潜力</w:t>
      </w:r>
    </w:p>
    <w:p w14:paraId="684FAEE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1B46BC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推动商品消费扩容升级，优化实施消费品“以旧换新”，开展汽车流通消费改革试点，推动汽车、家电、家装等传统消费更新迭代，促进具身智能、服务机器人、智能穿戴设备等智能终端消费。完善促进服务消费政策措施，以放宽准入、业态融合为重点扩大健康养老、教育培训、文化旅游等服务消费供给，积极引进国际优质服务资源，大力培育服务消费新增长点。发挥医疗资源优势，加快广州国际健康城、南沙国际医疗健康城等建设，增加医学美容、人体干细胞治疗</w:t>
      </w:r>
      <w:r>
        <w:rPr>
          <w:rFonts w:hint="eastAsia" w:ascii="宋体" w:hAnsi="宋体" w:eastAsia="宋体" w:cs="宋体"/>
          <w:i w:val="0"/>
          <w:iCs w:val="0"/>
          <w:caps w:val="0"/>
          <w:color w:val="333333"/>
          <w:spacing w:val="0"/>
          <w:sz w:val="15"/>
          <w:szCs w:val="15"/>
          <w:bdr w:val="none" w:color="auto" w:sz="0" w:space="0"/>
          <w:shd w:val="clear" w:fill="FFFFFF"/>
          <w:vertAlign w:val="superscript"/>
        </w:rPr>
        <w:t>75</w:t>
      </w:r>
      <w:r>
        <w:rPr>
          <w:rFonts w:hint="eastAsia" w:ascii="宋体" w:hAnsi="宋体" w:eastAsia="宋体" w:cs="宋体"/>
          <w:i w:val="0"/>
          <w:iCs w:val="0"/>
          <w:caps w:val="0"/>
          <w:color w:val="333333"/>
          <w:spacing w:val="0"/>
          <w:sz w:val="24"/>
          <w:szCs w:val="24"/>
          <w:bdr w:val="none" w:color="auto" w:sz="0" w:space="0"/>
          <w:shd w:val="clear" w:fill="FFFFFF"/>
        </w:rPr>
        <w:t>、基因诊断与治疗、高端康养等医疗服务供给。做大做强线上消费，推动平台经济创新和健康发展，支持直播电商、社交电商、即时零售等新模式创新发展。积极扩大入境消费，深入推进国际化消费环境建设试点，打造一批国际消费集聚区、入境消费友好型商圈，提升境外旅客在穗购物支付、交通出行等环节便利化水平。持续优化消费环境，清理消费领域不合理限制性措施。加大直达消费者的普惠政策力度，扩大消费领域金融供给。</w:t>
      </w:r>
    </w:p>
    <w:p w14:paraId="4E9DA87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8BD460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第三节  塑造品牌消费场景</w:t>
      </w:r>
    </w:p>
    <w:p w14:paraId="3D51093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68F80BF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推进消费新业态新模式新场景试点，建立健全适应消费新业态新模式新场景管理机制，打造一批引领力强的消费新场景，擦亮“食在广州”金字招牌，优化打响“羊城消费新八景”</w:t>
      </w:r>
      <w:r>
        <w:rPr>
          <w:rFonts w:hint="eastAsia" w:ascii="宋体" w:hAnsi="宋体" w:eastAsia="宋体" w:cs="宋体"/>
          <w:i w:val="0"/>
          <w:iCs w:val="0"/>
          <w:caps w:val="0"/>
          <w:color w:val="333333"/>
          <w:spacing w:val="0"/>
          <w:sz w:val="15"/>
          <w:szCs w:val="15"/>
          <w:bdr w:val="none" w:color="auto" w:sz="0" w:space="0"/>
          <w:shd w:val="clear" w:fill="FFFFFF"/>
          <w:vertAlign w:val="superscript"/>
        </w:rPr>
        <w:t>76</w:t>
      </w:r>
      <w:r>
        <w:rPr>
          <w:rFonts w:hint="eastAsia" w:ascii="宋体" w:hAnsi="宋体" w:eastAsia="宋体" w:cs="宋体"/>
          <w:i w:val="0"/>
          <w:iCs w:val="0"/>
          <w:caps w:val="0"/>
          <w:color w:val="333333"/>
          <w:spacing w:val="0"/>
          <w:sz w:val="24"/>
          <w:szCs w:val="24"/>
          <w:bdr w:val="none" w:color="auto" w:sz="0" w:space="0"/>
          <w:shd w:val="clear" w:fill="FFFFFF"/>
        </w:rPr>
        <w:t>城市消费品牌。推动广州汽车文化项目、广州北站商业综合体、爱达邮轮广州运营合作项目、广州低空生态城等落地建设，从“船上、水上、岸上、楼上、天上”等空间维度提升珠江游品质，构建“车水马龙”（赛车、珠江游、赛马、龙舟）、“漫天雪花”（动漫电竞、低空飞行、冰雪经济、花城看花）等品牌消费场景。推动南沙国际邮轮母港常态化运营，加密国际游轮航次，丰富“邮轮+”特色消费场景。鼓励发展低空消费、智能消费、“悦己消费”</w:t>
      </w:r>
      <w:r>
        <w:rPr>
          <w:rFonts w:hint="eastAsia" w:ascii="宋体" w:hAnsi="宋体" w:eastAsia="宋体" w:cs="宋体"/>
          <w:i w:val="0"/>
          <w:iCs w:val="0"/>
          <w:caps w:val="0"/>
          <w:color w:val="333333"/>
          <w:spacing w:val="0"/>
          <w:sz w:val="15"/>
          <w:szCs w:val="15"/>
          <w:bdr w:val="none" w:color="auto" w:sz="0" w:space="0"/>
          <w:shd w:val="clear" w:fill="FFFFFF"/>
          <w:vertAlign w:val="superscript"/>
        </w:rPr>
        <w:t>77</w:t>
      </w:r>
      <w:r>
        <w:rPr>
          <w:rFonts w:hint="eastAsia" w:ascii="宋体" w:hAnsi="宋体" w:eastAsia="宋体" w:cs="宋体"/>
          <w:i w:val="0"/>
          <w:iCs w:val="0"/>
          <w:caps w:val="0"/>
          <w:color w:val="333333"/>
          <w:spacing w:val="0"/>
          <w:sz w:val="24"/>
          <w:szCs w:val="24"/>
          <w:bdr w:val="none" w:color="auto" w:sz="0" w:space="0"/>
          <w:shd w:val="clear" w:fill="FFFFFF"/>
        </w:rPr>
        <w:t>、“情绪消费”</w:t>
      </w:r>
      <w:r>
        <w:rPr>
          <w:rFonts w:hint="eastAsia" w:ascii="宋体" w:hAnsi="宋体" w:eastAsia="宋体" w:cs="宋体"/>
          <w:i w:val="0"/>
          <w:iCs w:val="0"/>
          <w:caps w:val="0"/>
          <w:color w:val="333333"/>
          <w:spacing w:val="0"/>
          <w:sz w:val="15"/>
          <w:szCs w:val="15"/>
          <w:bdr w:val="none" w:color="auto" w:sz="0" w:space="0"/>
          <w:shd w:val="clear" w:fill="FFFFFF"/>
          <w:vertAlign w:val="superscript"/>
        </w:rPr>
        <w:t>78</w:t>
      </w:r>
      <w:r>
        <w:rPr>
          <w:rFonts w:hint="eastAsia" w:ascii="宋体" w:hAnsi="宋体" w:eastAsia="宋体" w:cs="宋体"/>
          <w:i w:val="0"/>
          <w:iCs w:val="0"/>
          <w:caps w:val="0"/>
          <w:color w:val="333333"/>
          <w:spacing w:val="0"/>
          <w:sz w:val="24"/>
          <w:szCs w:val="24"/>
          <w:bdr w:val="none" w:color="auto" w:sz="0" w:space="0"/>
          <w:shd w:val="clear" w:fill="FFFFFF"/>
        </w:rPr>
        <w:t>等消费新场景。</w:t>
      </w:r>
    </w:p>
    <w:p w14:paraId="028EE45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9DCF31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第四节  建设世界旅游目的地</w:t>
      </w:r>
    </w:p>
    <w:p w14:paraId="30C652E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1215AD6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健全协调机制，加快商旅文体健融合发展，强化重大商旅文体健资源的统筹策划、协同联动。深化打造十大文旅功能区，推进建设广州正佳帽峰湾文旅、九龙湖“湾区·中旅世界”、森林海旅游度假区三期等项目，谋划建设长隆超级乐园等项目，积极推动多业态融合发展，丰富高品质旅游产品供给。推动广州塔等创建国家5A级旅游景区，深度开发白云山风景名胜区、白水寨旅游度假区等A级旅游景区资源优势，丰富文化遗产游、都市休闲游、主题乐园游等旅游产品供给，促进温泉康养、森林度假、旅居养老等相关产业集聚发展。串联一批“最岭南”景点、老字号，打造广府特色主题街区，整合优化集叹早茶、行花街、睇粤剧、游珠江于一体的“广式生活深度体验线路”，进一步增强广州过年、花城看花、龙舟竞渡等文旅品牌影响力。大力发展智慧旅游，推动旅游景区智能化发展，提升游客服务智慧化水平。突出“医疗+康养+旅游”三位一体，高水平建设“健康中国”长岭试验区。深化粤港澳大湾区北部生态文化旅游合作区建设，高水平打造商旅文体展消费带。</w:t>
      </w:r>
    </w:p>
    <w:tbl>
      <w:tblPr>
        <w:tblW w:w="916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568"/>
        <w:gridCol w:w="8597"/>
      </w:tblGrid>
      <w:tr w14:paraId="5A49C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11239"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B1D0AC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Style w:val="6"/>
                <w:rFonts w:hint="eastAsia" w:ascii="宋体" w:hAnsi="宋体" w:eastAsia="宋体" w:cs="宋体"/>
                <w:i w:val="0"/>
                <w:iCs w:val="0"/>
                <w:caps w:val="0"/>
                <w:color w:val="333333"/>
                <w:spacing w:val="0"/>
                <w:sz w:val="24"/>
                <w:szCs w:val="24"/>
                <w:bdr w:val="none" w:color="auto" w:sz="0" w:space="0"/>
              </w:rPr>
              <w:t>专栏7  十大文旅功能区建设行动</w:t>
            </w:r>
          </w:p>
        </w:tc>
      </w:tr>
      <w:tr w14:paraId="11918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60E7C22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01</w:t>
            </w:r>
          </w:p>
        </w:tc>
        <w:tc>
          <w:tcPr>
            <w:tcW w:w="855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AFF599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珠江“一江两岸”都市文旅功能区</w:t>
            </w:r>
          </w:p>
          <w:p w14:paraId="0967E4B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串联北京路文化旅游区、永庆坊—沙面—上下九西关旅游区、太古仓码头景区、广州塔旅游区、珠江新城商务区、珠江琶醍文化创意艺术区等中心城区核心文旅资源，优化完善旅游基础设施，打造全市文商旅体娱融合发展示范区。</w:t>
            </w:r>
          </w:p>
        </w:tc>
      </w:tr>
      <w:tr w14:paraId="63913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222D02A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02</w:t>
            </w:r>
          </w:p>
        </w:tc>
        <w:tc>
          <w:tcPr>
            <w:tcW w:w="855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42972C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环南昆山—罗浮山县镇村高质量发展文旅协作示范区</w:t>
            </w:r>
          </w:p>
          <w:p w14:paraId="6FEA24D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发挥白水寨风景名胜区、正果老街、从化温泉风景区、从化赛马场、流溪河国家森林公园、石门国家森林公园等旅游资源优势，大力发展森林康养、乡村酒店（民宿）、研学旅行、休闲露营等业态，打造粤港澳大湾区生态花园、世界级珍稀温泉森林康养目的地、岭南特色县镇村现代化建设样板、城乡融合发展先行地。</w:t>
            </w:r>
          </w:p>
        </w:tc>
      </w:tr>
      <w:tr w14:paraId="15484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76135FD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03</w:t>
            </w:r>
          </w:p>
        </w:tc>
        <w:tc>
          <w:tcPr>
            <w:tcW w:w="855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C61B94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环王子山—九龙湖生态文旅协作示范区</w:t>
            </w:r>
          </w:p>
          <w:p w14:paraId="08A2E7B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加强与清远旅游合作，推动王子山森林公园、芙蓉度假区等旅游景区与清远长隆旅游度假区实现连片发展，重点开发生态旅居、休闲康养、特色民宿等产品，打造国际化休闲度假目的地。</w:t>
            </w:r>
          </w:p>
        </w:tc>
      </w:tr>
      <w:tr w14:paraId="199C0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2CA48C7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04</w:t>
            </w:r>
          </w:p>
        </w:tc>
        <w:tc>
          <w:tcPr>
            <w:tcW w:w="855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641028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白云机场—广州北站枢纽会商文旅体展功能区</w:t>
            </w:r>
          </w:p>
          <w:p w14:paraId="63046BC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围绕白云机场临空片区、广州北站片区以及广州融创文旅城片区，促进枢纽和文旅融合，创新发展“免税+跨境电商+会展+旅游”模式，延伸发展冰雪运动产业链，推进建设国际时尚智港，打造粤港澳大湾区北部会商文旅体展集聚区。</w:t>
            </w:r>
          </w:p>
        </w:tc>
      </w:tr>
      <w:tr w14:paraId="4D0C7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04970F4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05</w:t>
            </w:r>
          </w:p>
        </w:tc>
        <w:tc>
          <w:tcPr>
            <w:tcW w:w="855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371D96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长隆—万博文商旅体功能区</w:t>
            </w:r>
          </w:p>
          <w:p w14:paraId="4293A44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整合广州南站、广州足球公园、番禺长隆、万博商务区、中华美食城等文旅地标，整体打造广州国际文商旅体融合发展区，支持长隆发展“旅游+文化+商业+体育”新业态。</w:t>
            </w:r>
          </w:p>
        </w:tc>
      </w:tr>
      <w:tr w14:paraId="3B205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045D552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06</w:t>
            </w:r>
          </w:p>
        </w:tc>
        <w:tc>
          <w:tcPr>
            <w:tcW w:w="855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571411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莲花山—狮子洋岭南水乡文旅功能区</w:t>
            </w:r>
          </w:p>
          <w:p w14:paraId="0CA7AFE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推动岭南印象园、余荫山房、莲花山旅游区、海鸥岛等旅游资源联动开发，以莲花站枢纽为载体，完善交通集散功能，建设岭南水乡文旅功能区。</w:t>
            </w:r>
          </w:p>
        </w:tc>
      </w:tr>
      <w:tr w14:paraId="12D9F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6BB0438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07</w:t>
            </w:r>
          </w:p>
        </w:tc>
        <w:tc>
          <w:tcPr>
            <w:tcW w:w="855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F2B855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南沙国际邮轮游艇海洋文旅功能区</w:t>
            </w:r>
          </w:p>
          <w:p w14:paraId="047E83B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以南沙国际邮轮母港为核心，联动大角山海滨公园、南沙天后宫等旅游景区，开发层级丰富的邮轮旅游产品体系，打造国际海洋旅游示范区。</w:t>
            </w:r>
          </w:p>
        </w:tc>
      </w:tr>
      <w:tr w14:paraId="4591E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3796545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08</w:t>
            </w:r>
          </w:p>
        </w:tc>
        <w:tc>
          <w:tcPr>
            <w:tcW w:w="855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77DFEC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白云山—泛南湖生态文旅功能区</w:t>
            </w:r>
          </w:p>
          <w:p w14:paraId="6A75C98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以白云山风景区为核心，建设环白云山高质量发展带，融合白云国际会展平台和泛南湖片区文旅资源，打造湾区国际交往会客厅。</w:t>
            </w:r>
          </w:p>
        </w:tc>
      </w:tr>
      <w:tr w14:paraId="5C226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2B3E303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09</w:t>
            </w:r>
          </w:p>
        </w:tc>
        <w:tc>
          <w:tcPr>
            <w:tcW w:w="855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6835186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长洲岛—南海神庙海丝文化旅游功能区</w:t>
            </w:r>
          </w:p>
          <w:p w14:paraId="7BC14A9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深入挖掘和利用南海神庙、波罗诞、扶胥古运河、黄埔军校等历史文化资源，推进创建省级休闲旅游街区，推动长洲岛及周边岛屿建设“珠江国际慢岛”。</w:t>
            </w:r>
          </w:p>
        </w:tc>
      </w:tr>
      <w:tr w14:paraId="158C2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rPr>
        <w:tc>
          <w:tcPr>
            <w:tcW w:w="6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1474699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10</w:t>
            </w:r>
          </w:p>
        </w:tc>
        <w:tc>
          <w:tcPr>
            <w:tcW w:w="855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0DB53B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中新广州知识城智创文旅功能区</w:t>
            </w:r>
          </w:p>
          <w:p w14:paraId="0AFA52A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发挥帽峰山、九龙湖、凤凰湖、莲塘村等资源优势，加快发展科创研学旅游、传统乡村休闲旅游、现代农业观光旅游等产品，打造大湾区科技旅游发展高地。</w:t>
            </w:r>
          </w:p>
        </w:tc>
      </w:tr>
    </w:tbl>
    <w:p w14:paraId="3BE095A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3870F91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第十二章  建设更高水平国际贸易强市</w:t>
      </w:r>
    </w:p>
    <w:p w14:paraId="4E424FD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875A1A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推进国际贸易市场多元化、业态多样化发展，持续增强国际贸易枢纽功能，加快建设结构更优、竞争力更强的国际贸易强市。</w:t>
      </w:r>
    </w:p>
    <w:p w14:paraId="5B7B4EB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8552AC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推动货物贸易优化升级</w:t>
      </w:r>
    </w:p>
    <w:p w14:paraId="4762104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3C1B27D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深化对外经贸合作，稳住欧美日韩市场，深耕东盟市场，开拓中东、非洲、拉美、金砖国家等新兴市场。优化出口商品结构，推动纺织服装、皮具箱包、化妆品等优势出口产业创设自主品牌，提高产品附加值，对接跨境电商等新模式加速“出海”步伐；推动新兴产业加快布局国际市场，稳步扩大智能网联与新能源汽车及零配件、集成电路、平板显示模组、通用机械设备等产品出口规模。推动进出口平衡发展，积极扩大天然气、石油能源类大宗商品和农产品、中高端消费品、飞机及航材等产品进口。建强贸易促进平台，推动国家级外贸转型升级基地扩容升级，支持搭建研发、营销、物流等公共服务平台；增强南沙、黄埔进口示范区贸易创新功能，在电子信息、高端装备、生物医药等核心产业领域推动建设一批专业化的国际分拨中心；大力吸引跨国物流企业建设全球或区域性物流分拨中心，在南沙、广州空港经济区、黄埔建设进口分拨枢纽，实现“全球采购+广州分拨”。</w:t>
      </w:r>
    </w:p>
    <w:p w14:paraId="62BBB46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C16C07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培育壮大贸易新增长点</w:t>
      </w:r>
    </w:p>
    <w:p w14:paraId="63C9436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CBEFC8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壮大发展服务贸易，深入实施跨境服务贸易负面清单，建设国家服务贸易创新发展示范区，做大做强文化、中医药、知识产权等国家、省级特色服务出口基地，推动轨道交通、建筑工程等领域“制造+服务”链式出海。推动数字贸易</w:t>
      </w:r>
      <w:r>
        <w:rPr>
          <w:rFonts w:hint="eastAsia" w:ascii="宋体" w:hAnsi="宋体" w:eastAsia="宋体" w:cs="宋体"/>
          <w:i w:val="0"/>
          <w:iCs w:val="0"/>
          <w:caps w:val="0"/>
          <w:color w:val="333333"/>
          <w:spacing w:val="0"/>
          <w:sz w:val="15"/>
          <w:szCs w:val="15"/>
          <w:bdr w:val="none" w:color="auto" w:sz="0" w:space="0"/>
          <w:shd w:val="clear" w:fill="FFFFFF"/>
          <w:vertAlign w:val="superscript"/>
        </w:rPr>
        <w:t>79</w:t>
      </w:r>
      <w:r>
        <w:rPr>
          <w:rFonts w:hint="eastAsia" w:ascii="宋体" w:hAnsi="宋体" w:eastAsia="宋体" w:cs="宋体"/>
          <w:i w:val="0"/>
          <w:iCs w:val="0"/>
          <w:caps w:val="0"/>
          <w:color w:val="333333"/>
          <w:spacing w:val="0"/>
          <w:sz w:val="24"/>
          <w:szCs w:val="24"/>
          <w:bdr w:val="none" w:color="auto" w:sz="0" w:space="0"/>
          <w:shd w:val="clear" w:fill="FFFFFF"/>
        </w:rPr>
        <w:t>改革提升，优化发展数字产品贸易，支持开发游戏动漫、数字影视、数字音乐等数字内容原创精品IP，加快“走出去”步伐，提升游戏动漫等海外市场占有率；壮大数字服务贸易，推动建设粤港澳大湾区国际商务与数字经济中心，建强天河中央商务区国家数字服务出口基地和黄埔区、琶洲人工智能与数字经济试验区两个广东省数字服务出口基地，争取创建国家数字贸易示范区。大力发展跨境电商，推广“跨境电商+产业带”模式</w:t>
      </w:r>
      <w:r>
        <w:rPr>
          <w:rFonts w:hint="eastAsia" w:ascii="宋体" w:hAnsi="宋体" w:eastAsia="宋体" w:cs="宋体"/>
          <w:i w:val="0"/>
          <w:iCs w:val="0"/>
          <w:caps w:val="0"/>
          <w:color w:val="333333"/>
          <w:spacing w:val="0"/>
          <w:sz w:val="15"/>
          <w:szCs w:val="15"/>
          <w:bdr w:val="none" w:color="auto" w:sz="0" w:space="0"/>
          <w:shd w:val="clear" w:fill="FFFFFF"/>
          <w:vertAlign w:val="superscript"/>
        </w:rPr>
        <w:t>80</w:t>
      </w:r>
      <w:r>
        <w:rPr>
          <w:rFonts w:hint="eastAsia" w:ascii="宋体" w:hAnsi="宋体" w:eastAsia="宋体" w:cs="宋体"/>
          <w:i w:val="0"/>
          <w:iCs w:val="0"/>
          <w:caps w:val="0"/>
          <w:color w:val="333333"/>
          <w:spacing w:val="0"/>
          <w:sz w:val="24"/>
          <w:szCs w:val="24"/>
          <w:bdr w:val="none" w:color="auto" w:sz="0" w:space="0"/>
          <w:shd w:val="clear" w:fill="FFFFFF"/>
        </w:rPr>
        <w:t>，开展化妆品跨境电商零售出口试点，强化供应链溯源体系建设。扶持“保税+”、离岸贸易等新兴贸易，促进“加工制造+保税物流”深度融合，积极培育保税研发、保税维修、保税检测、保税再制造等新业务，探索在白云机场综保区开展汽车零部件保税再制造等“保税+”业态创新。拓展生物燃料油、甲醇、氨、氢等多品类绿色燃料加注服务体系，打造大湾区绿色燃料加注中心。稳妥推进市场采购贸易方式试点，建立一站式集拼中心，推动市场采购贸易出口扩容提质。实施推动中间品贸易高质量发展专项行动，积极发展集成电路、汽车零配件、锂电材料等中间品贸易。</w:t>
      </w:r>
    </w:p>
    <w:p w14:paraId="56D67A1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AA38EB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第三节  健全贸易支撑服务体系</w:t>
      </w:r>
    </w:p>
    <w:p w14:paraId="2F3CBC3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EB20CC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谋划实施外贸龙头企业培育行动，带动优势产业链拓展海外市场。积极参与“粤贸全球”计划</w:t>
      </w:r>
      <w:r>
        <w:rPr>
          <w:rFonts w:hint="eastAsia" w:ascii="宋体" w:hAnsi="宋体" w:eastAsia="宋体" w:cs="宋体"/>
          <w:i w:val="0"/>
          <w:iCs w:val="0"/>
          <w:caps w:val="0"/>
          <w:color w:val="333333"/>
          <w:spacing w:val="0"/>
          <w:sz w:val="15"/>
          <w:szCs w:val="15"/>
          <w:bdr w:val="none" w:color="auto" w:sz="0" w:space="0"/>
          <w:shd w:val="clear" w:fill="FFFFFF"/>
          <w:vertAlign w:val="superscript"/>
        </w:rPr>
        <w:t>81</w:t>
      </w:r>
      <w:r>
        <w:rPr>
          <w:rFonts w:hint="eastAsia" w:ascii="宋体" w:hAnsi="宋体" w:eastAsia="宋体" w:cs="宋体"/>
          <w:i w:val="0"/>
          <w:iCs w:val="0"/>
          <w:caps w:val="0"/>
          <w:color w:val="333333"/>
          <w:spacing w:val="0"/>
          <w:sz w:val="24"/>
          <w:szCs w:val="24"/>
          <w:bdr w:val="none" w:color="auto" w:sz="0" w:space="0"/>
          <w:shd w:val="clear" w:fill="FFFFFF"/>
        </w:rPr>
        <w:t>，深化打造“广货优品 广贸全球”境外参展品牌，组织和服务更多企业赴国内外主要城市参展，拓宽广货销售渠道。发挥广州东部经认证的经营者（AEO）指导中心、AEO培育实训基地等平台作用，引导更多企业升级为AEO企业。培育提供跨境贸易支付、结算服务的本地金融机构，推进“一带一路”贸易综合服务平台建设。深入推进跨境贸易便利化改革，提升广州口岸开放水平，推进南沙港区四期码头、粮食通用码头扩建工程、近洋码头等开放验收工作。加强重点口岸实验室布局和建设，提升精密仪器、生物医药、生鲜食品等重要进出口商品通关便利化水平。持续深化智慧海关、智慧口岸建设，完成广州市数智口岸与数字贸易枢纽建设工程，争取国家智能通关监管技术创新中心落地。建立商务、贸促、海关、重点行业商协会、重点出口企业等联动的贸易救济预警机制，持续强化经贸风险信息共享、协同防范。发挥技术性贸易措施粤港澳大湾区研究平台、技术性贸易措施研究评议基地等平台作用，强化国外技术性贸易措施研究、评议、应对等服务保障，更好支持企业扩大出口。加强国家出口管制政策法规的宣传贯彻落实，推动建设国际经贸合规服务平台，提升企业合规经营能力。完善地方贸易摩擦应对政策措施和地方贸易援助制度，更好指导企业根据国家规定依法申请贸易救济。</w:t>
      </w:r>
    </w:p>
    <w:p w14:paraId="115D404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6EA5F29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第五篇  完善现代化基础设施体系，提升枢纽对经济发展支撑带动作用</w:t>
      </w:r>
    </w:p>
    <w:p w14:paraId="3E2588F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FD1DD0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坚持适度超前、不过度超前，持续优化基础设施布局结构、服务功能和运行效率，把基础设施优势转化为经济发展优势，加快构建先进适用、系统完备、集约高效、安全绿色的现代化基础设施体系。</w:t>
      </w:r>
    </w:p>
    <w:p w14:paraId="2B8D1FC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CEBCD7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第十三章  发展壮大枢纽经济</w:t>
      </w:r>
    </w:p>
    <w:p w14:paraId="316AEEC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85081F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发挥国际性综合交通枢纽优势，深化打造国家临空经济示范区，加快建设临港经济区，增强铁路枢纽经济功能，构建融合互通的枢纽经济平台，推动“枢纽流量”转化为“经济增量”。</w:t>
      </w:r>
    </w:p>
    <w:p w14:paraId="4BD3968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80DAA3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做大临空经济</w:t>
      </w:r>
    </w:p>
    <w:p w14:paraId="69924A9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7916B3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增强白云国际机场的先进生产要素集聚功能，全面提升广州在全球产业链、供应链、价值链中的国际竞争力，带动腹地区域经济融合发展。优化临空经济区功能布局，谋划建设临空特色产业园，着力发展生物医药与健康、航空与低空经济、时尚消费品、物流与供应链等临空产业。完善白云、花都、广州空港经济区管委会合理分工，协同推动空港经济区规划建设管理的体制机制。建立与省机场集团、南方航空的利益共享机制，研究联合开发临空产业合作园，策划实施“以商招商、以链聚商”行动。加强与飞机制造企业合作，提升高附加值零部件维修能力，建设国产大飞机亚太维护、维修、运营服务基地。推进广州空港博览中心扩建，招引国内外知名会展企业举办低空经济、通用航空、时尚消费等专业展会。谋划建设国际商务合作区，打造国际商务交流和科技合作新高地。规划建设区域性商业地标，探索航空旅客购物“免税”新模式，建成空港枢纽型国际商圈。</w:t>
      </w:r>
    </w:p>
    <w:p w14:paraId="481460F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1E34939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做优临港经济</w:t>
      </w:r>
    </w:p>
    <w:p w14:paraId="16FD11E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C9D0B2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发挥港口引导重大产业布局作用，重点依托南沙港区、黄埔新港建设临港经济区，有序安排港产城融合发展空间。南沙片区着力推动南沙综合保税区及周边区域引育临港智造产业，集聚发展船舶与海洋工程、智能网联与新能源汽车、绿色石化与新材料、新能源与新型储能等临港工业，联动南沙湾、明珠湾片区发展高端航运服务业，推动航运服务从货物运输向供应链管理发展，提升国际航运物流枢纽地位；完善南沙国际邮轮母港口岸服务功能，主动拓展始发及国际挂靠航线，协同提升邮轮上下游产业发展能级。黄埔片区重点推动穗港智造合作区建设，深入实施推动西区高质量发展五年行动，聚力发展总部经济、智能装备研发制造、航运服务。</w:t>
      </w:r>
    </w:p>
    <w:p w14:paraId="713BB6A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3E83520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第三节  做强铁路枢纽经济</w:t>
      </w:r>
    </w:p>
    <w:p w14:paraId="013DEA5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ADC81E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加快广州国际港站、增城西站、广州南站、广州白云站、广州东站、广州北站、南沙站等重大铁路枢纽站周边区域开发建设，促进枢纽型产业加速集聚。围绕广州国际港站枢纽片区，规划建设国家级铁路枢纽经济产业平台，着力推进临港物流园区、公水联运作业区和先进制造产业园区建设，打造大湾区陆港供应链组织中心。提升增城西站生产服务型国家物流枢纽功能，加快广州东部公铁联运枢纽一期工程建设，推进保税物流中心（B型）建设，加快建设希音供应链总部、华南供应链采购配送中心等项目，谋划建设跨境电商智造产业园，吸引上下游企业联动发展跨境电商、物流和供应链等产业集群，推动枢纽区域连片集聚开发。完善广州南站地区开发管理机制，支持收储地块加速开发，建设站城一体、产城融合的高铁门户枢纽新城，与万博商务区、长隆旅游度假区、广州足球公园联动融合发展。打造广州白云站TOD国际高端商圈新地标，推动“广州时尚之都”、白云国际医养消费中心等建设，构建“枢纽+”健康医养、时尚消费等现代产业集群。</w:t>
      </w:r>
    </w:p>
    <w:p w14:paraId="12BD5CE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6D7361B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第十四章  适度超前建设新型基础设施</w:t>
      </w:r>
    </w:p>
    <w:p w14:paraId="04CAE66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3D69C31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面向智能经济发展需求，夯实信息枢纽底座，建强数算云网等新型基础设施，推进传统基础设施数智化升级改造，支撑算法、数据、场景等高效供给，构建自主可控、先进完备的新型基础设施体系。</w:t>
      </w:r>
    </w:p>
    <w:p w14:paraId="21AF2F8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1B5C21F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完善信息基础设施网络</w:t>
      </w:r>
    </w:p>
    <w:p w14:paraId="0E2381A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63F51C7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建设智能协同通信网。建设泛在高效的无线通信网络，实现城郊、工业园区等薄弱场景的5G深度覆盖，支持通信运营商加快部署5G-A</w:t>
      </w:r>
      <w:r>
        <w:rPr>
          <w:rFonts w:hint="eastAsia" w:ascii="宋体" w:hAnsi="宋体" w:eastAsia="宋体" w:cs="宋体"/>
          <w:i w:val="0"/>
          <w:iCs w:val="0"/>
          <w:caps w:val="0"/>
          <w:color w:val="333333"/>
          <w:spacing w:val="0"/>
          <w:sz w:val="15"/>
          <w:szCs w:val="15"/>
          <w:bdr w:val="none" w:color="auto" w:sz="0" w:space="0"/>
          <w:shd w:val="clear" w:fill="FFFFFF"/>
          <w:vertAlign w:val="superscript"/>
        </w:rPr>
        <w:t>82</w:t>
      </w:r>
      <w:r>
        <w:rPr>
          <w:rFonts w:hint="eastAsia" w:ascii="宋体" w:hAnsi="宋体" w:eastAsia="宋体" w:cs="宋体"/>
          <w:i w:val="0"/>
          <w:iCs w:val="0"/>
          <w:caps w:val="0"/>
          <w:color w:val="333333"/>
          <w:spacing w:val="0"/>
          <w:sz w:val="24"/>
          <w:szCs w:val="24"/>
          <w:bdr w:val="none" w:color="auto" w:sz="0" w:space="0"/>
          <w:shd w:val="clear" w:fill="FFFFFF"/>
        </w:rPr>
        <w:t>网络，研究建设6G应用示范网。扩大5G行业虚拟专网在政务、电力、工业等重点领域规模化应用部署。加快全光网络扩容升级，推动“双万兆”通信网络</w:t>
      </w:r>
      <w:r>
        <w:rPr>
          <w:rFonts w:hint="eastAsia" w:ascii="宋体" w:hAnsi="宋体" w:eastAsia="宋体" w:cs="宋体"/>
          <w:i w:val="0"/>
          <w:iCs w:val="0"/>
          <w:caps w:val="0"/>
          <w:color w:val="333333"/>
          <w:spacing w:val="0"/>
          <w:sz w:val="15"/>
          <w:szCs w:val="15"/>
          <w:bdr w:val="none" w:color="auto" w:sz="0" w:space="0"/>
          <w:shd w:val="clear" w:fill="FFFFFF"/>
          <w:vertAlign w:val="superscript"/>
        </w:rPr>
        <w:t>83</w:t>
      </w:r>
      <w:r>
        <w:rPr>
          <w:rFonts w:hint="eastAsia" w:ascii="宋体" w:hAnsi="宋体" w:eastAsia="宋体" w:cs="宋体"/>
          <w:i w:val="0"/>
          <w:iCs w:val="0"/>
          <w:caps w:val="0"/>
          <w:color w:val="333333"/>
          <w:spacing w:val="0"/>
          <w:sz w:val="24"/>
          <w:szCs w:val="24"/>
          <w:bdr w:val="none" w:color="auto" w:sz="0" w:space="0"/>
          <w:shd w:val="clear" w:fill="FFFFFF"/>
        </w:rPr>
        <w:t>建设，夯实全光数字底座。实施IPv6性能提升行动，推动“IPv6+”技术创新和融合应用。加强国家新型互联网交换中心建设，支持建设大湾区量子通信骨干网。加快布局低轨卫星通信网络、低空感知网等空天网络基础设施，提升大规模星座组网建设能力，支撑“北斗＋”规模应用，促进5G、光网、移动物联网和低轨卫星互联网通信有机融合。围绕主导产业拓展工业互联网，推动更多企业接入工业互联网标识解析节点。</w:t>
      </w:r>
    </w:p>
    <w:p w14:paraId="29A2EE3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构建多元融合算力网。统筹算力基础设施建设，构建智能计算</w:t>
      </w:r>
      <w:r>
        <w:rPr>
          <w:rFonts w:hint="eastAsia" w:ascii="宋体" w:hAnsi="宋体" w:eastAsia="宋体" w:cs="宋体"/>
          <w:i w:val="0"/>
          <w:iCs w:val="0"/>
          <w:caps w:val="0"/>
          <w:color w:val="333333"/>
          <w:spacing w:val="0"/>
          <w:sz w:val="15"/>
          <w:szCs w:val="15"/>
          <w:bdr w:val="none" w:color="auto" w:sz="0" w:space="0"/>
          <w:shd w:val="clear" w:fill="FFFFFF"/>
          <w:vertAlign w:val="superscript"/>
        </w:rPr>
        <w:t>84</w:t>
      </w:r>
      <w:r>
        <w:rPr>
          <w:rFonts w:hint="eastAsia" w:ascii="宋体" w:hAnsi="宋体" w:eastAsia="宋体" w:cs="宋体"/>
          <w:i w:val="0"/>
          <w:iCs w:val="0"/>
          <w:caps w:val="0"/>
          <w:color w:val="333333"/>
          <w:spacing w:val="0"/>
          <w:sz w:val="24"/>
          <w:szCs w:val="24"/>
          <w:bdr w:val="none" w:color="auto" w:sz="0" w:space="0"/>
          <w:shd w:val="clear" w:fill="FFFFFF"/>
        </w:rPr>
        <w:t>、超级计算</w:t>
      </w:r>
      <w:r>
        <w:rPr>
          <w:rFonts w:hint="eastAsia" w:ascii="宋体" w:hAnsi="宋体" w:eastAsia="宋体" w:cs="宋体"/>
          <w:i w:val="0"/>
          <w:iCs w:val="0"/>
          <w:caps w:val="0"/>
          <w:color w:val="333333"/>
          <w:spacing w:val="0"/>
          <w:sz w:val="15"/>
          <w:szCs w:val="15"/>
          <w:bdr w:val="none" w:color="auto" w:sz="0" w:space="0"/>
          <w:shd w:val="clear" w:fill="FFFFFF"/>
          <w:vertAlign w:val="superscript"/>
        </w:rPr>
        <w:t>85</w:t>
      </w:r>
      <w:r>
        <w:rPr>
          <w:rFonts w:hint="eastAsia" w:ascii="宋体" w:hAnsi="宋体" w:eastAsia="宋体" w:cs="宋体"/>
          <w:i w:val="0"/>
          <w:iCs w:val="0"/>
          <w:caps w:val="0"/>
          <w:color w:val="333333"/>
          <w:spacing w:val="0"/>
          <w:sz w:val="24"/>
          <w:szCs w:val="24"/>
          <w:bdr w:val="none" w:color="auto" w:sz="0" w:space="0"/>
          <w:shd w:val="clear" w:fill="FFFFFF"/>
        </w:rPr>
        <w:t>、通用计算</w:t>
      </w:r>
      <w:r>
        <w:rPr>
          <w:rFonts w:hint="eastAsia" w:ascii="宋体" w:hAnsi="宋体" w:eastAsia="宋体" w:cs="宋体"/>
          <w:i w:val="0"/>
          <w:iCs w:val="0"/>
          <w:caps w:val="0"/>
          <w:color w:val="333333"/>
          <w:spacing w:val="0"/>
          <w:sz w:val="15"/>
          <w:szCs w:val="15"/>
          <w:bdr w:val="none" w:color="auto" w:sz="0" w:space="0"/>
          <w:shd w:val="clear" w:fill="FFFFFF"/>
          <w:vertAlign w:val="superscript"/>
        </w:rPr>
        <w:t>86</w:t>
      </w:r>
      <w:r>
        <w:rPr>
          <w:rFonts w:hint="eastAsia" w:ascii="宋体" w:hAnsi="宋体" w:eastAsia="宋体" w:cs="宋体"/>
          <w:i w:val="0"/>
          <w:iCs w:val="0"/>
          <w:caps w:val="0"/>
          <w:color w:val="333333"/>
          <w:spacing w:val="0"/>
          <w:sz w:val="24"/>
          <w:szCs w:val="24"/>
          <w:bdr w:val="none" w:color="auto" w:sz="0" w:space="0"/>
          <w:shd w:val="clear" w:fill="FFFFFF"/>
        </w:rPr>
        <w:t>等多元算力供给体系。规划建设高密度数据中心、边缘数据中心、智能计算中心等下一代新型高性能数据中心，提升数据感知、数据分析和实时处理能力。支持国家超级计算广州中心自主升级新一代超级计算系统，持续完善国产超算应用生态。研究布局算力飞地，探索区域算力资源共享和协同调度机制。统筹建设区块链基础设施，推动跨链互通与互操作。合理布局量子计算云平台设施。推动绿色电力与算力设施协同布局，探索绿色低碳发展新模式。</w:t>
      </w:r>
    </w:p>
    <w:p w14:paraId="23FC540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打造全链畅通数据网。推动政务数据跨部门、跨层级协同治理，建设一体化政务数据管理体系。开展公共数据资源调查，全量编制数据资源目录，建立全市公共数据“一本账”。加强公共数据资源供给，规范公共数据授权运营。有序推动金融、交通、健康等领域公共数据脱敏开放。推动社会数据供给，引导企业互相开放数据，探索合规授权使用个人数据。完善数据标准体系和质量管理体系，加强可信数据空间</w:t>
      </w:r>
      <w:r>
        <w:rPr>
          <w:rFonts w:hint="eastAsia" w:ascii="宋体" w:hAnsi="宋体" w:eastAsia="宋体" w:cs="宋体"/>
          <w:i w:val="0"/>
          <w:iCs w:val="0"/>
          <w:caps w:val="0"/>
          <w:color w:val="333333"/>
          <w:spacing w:val="0"/>
          <w:sz w:val="15"/>
          <w:szCs w:val="15"/>
          <w:bdr w:val="none" w:color="auto" w:sz="0" w:space="0"/>
          <w:shd w:val="clear" w:fill="FFFFFF"/>
          <w:vertAlign w:val="superscript"/>
        </w:rPr>
        <w:t>87</w:t>
      </w:r>
      <w:r>
        <w:rPr>
          <w:rFonts w:hint="eastAsia" w:ascii="宋体" w:hAnsi="宋体" w:eastAsia="宋体" w:cs="宋体"/>
          <w:i w:val="0"/>
          <w:iCs w:val="0"/>
          <w:caps w:val="0"/>
          <w:color w:val="333333"/>
          <w:spacing w:val="0"/>
          <w:sz w:val="24"/>
          <w:szCs w:val="24"/>
          <w:bdr w:val="none" w:color="auto" w:sz="0" w:space="0"/>
          <w:shd w:val="clear" w:fill="FFFFFF"/>
        </w:rPr>
        <w:t>建设，鼓励建设行业高质量数据集，开发类型多样的数据产品，培育壮大数据产业，深入开展“数据要素×”行动。推动天河、黄埔数据产业集聚区建设。提升广州数据交易所能级，建设开放共享安全的一体化数据市场，健全数据产权制度，建立健全数据价格形成和共享流通交易机制，打造大湾区数据要素枢纽。加快南沙国际数港建设，争取实施自由贸易试验区数据跨境负面清单，支持大湾区数据保护和数据跨境服务平台建设，联合港澳探索建设大湾区“数字特区”。建设中新广州知识城国际数字枢纽，开展数据资源“来数加工”与“两头在外”离岸服务。</w:t>
      </w:r>
    </w:p>
    <w:p w14:paraId="57756A1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60FE584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推进融合基础设施升级</w:t>
      </w:r>
    </w:p>
    <w:p w14:paraId="0954559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72C55D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加快部署智能感知设施，建设智能管控平台，推动交通、水利、市政等传统基础设施数智化改造。以车联网规模化应用为导向，实施自动驾驶示范区车路协同信息化设施改造，打造广州大学城车路协同智能出行岛等一批示范场景。推动常发拥堵高速公路智慧化改造、无感收费系统迭代升级。完成广州港航道数字化升级改造示范工程。推动既有码头自动化改造，开展港口电动集装箱牵引车自动驾驶研究与应用。建设南沙港区五期工程数字孪生</w:t>
      </w:r>
      <w:r>
        <w:rPr>
          <w:rFonts w:hint="eastAsia" w:ascii="宋体" w:hAnsi="宋体" w:eastAsia="宋体" w:cs="宋体"/>
          <w:i w:val="0"/>
          <w:iCs w:val="0"/>
          <w:caps w:val="0"/>
          <w:color w:val="333333"/>
          <w:spacing w:val="0"/>
          <w:sz w:val="15"/>
          <w:szCs w:val="15"/>
          <w:bdr w:val="none" w:color="auto" w:sz="0" w:space="0"/>
          <w:shd w:val="clear" w:fill="FFFFFF"/>
          <w:vertAlign w:val="superscript"/>
        </w:rPr>
        <w:t>88</w:t>
      </w:r>
      <w:r>
        <w:rPr>
          <w:rFonts w:hint="eastAsia" w:ascii="宋体" w:hAnsi="宋体" w:eastAsia="宋体" w:cs="宋体"/>
          <w:i w:val="0"/>
          <w:iCs w:val="0"/>
          <w:caps w:val="0"/>
          <w:color w:val="333333"/>
          <w:spacing w:val="0"/>
          <w:sz w:val="24"/>
          <w:szCs w:val="24"/>
          <w:bdr w:val="none" w:color="auto" w:sz="0" w:space="0"/>
          <w:shd w:val="clear" w:fill="FFFFFF"/>
        </w:rPr>
        <w:t>平台，构建智慧港口运营管理体系。推动构建白云机场空地协同决策和运行控制系统，加快建设低空智联网和低空起降设施。开展低空经济高质量发展气象保障全国先行试点，加强气象保障基础设施建设。加快邮政物流设施智能化改造。推进广州数字孪生水网建设，实施牛路水库、南大水库、沙迳水库等数字孪生工程。推动供排水设施智能化升级改造，整合水务设施物联感知资源，搭建防洪排涝、排水数据归集平台，构建水务物联管理平台。</w:t>
      </w:r>
    </w:p>
    <w:p w14:paraId="51018C3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F34A6A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第十五章  优化基础设施功能布局</w:t>
      </w:r>
    </w:p>
    <w:p w14:paraId="08B33DB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rPr>
          <w:rFonts w:hint="eastAsia" w:ascii="宋体" w:hAnsi="宋体" w:eastAsia="宋体" w:cs="宋体"/>
          <w:i w:val="0"/>
          <w:iCs w:val="0"/>
          <w:caps w:val="0"/>
          <w:color w:val="333333"/>
          <w:spacing w:val="0"/>
          <w:sz w:val="24"/>
          <w:szCs w:val="24"/>
        </w:rPr>
      </w:pPr>
    </w:p>
    <w:p w14:paraId="05EBF5B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以推动基础设施集成融合为导向，统筹推进交通、能源、水利等基础设施高质量发展，建设国家现代化基础设施综合性骨干节点。</w:t>
      </w:r>
    </w:p>
    <w:p w14:paraId="07C15C5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AA9E00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提升国际性综合交通枢纽城市全球辐射力</w:t>
      </w:r>
    </w:p>
    <w:p w14:paraId="09F84A5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D3B19B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强化全方位门户复合型国际航空枢纽功能。优化白云国际机场航站区功能布局，实施T1航站楼改造。研究建设机场捷运系统，提升国际中转服务能力。完善T3航站楼交通网络，推动设置白云站、金融城站、广州北站空铁联运服务中心，提供值机、行李托运等“中转+”增值服务。推动大湾区空域统筹规划实施，争取更多空域、航权、时刻资源，提升高峰小时容量标准。以六大国际经济合作走廊和RCEP国家为重点拓展国际航线，积极争取欧美航线，完善全球12小时航空交通圈。推动南方航空依托白云国际机场打造世界级超级航空承运人，鼓励更多航空公司基地化运作。持续优化航空物流信息服务平台，促进多元主体信息共享协同作业。研究增加专用货机位，加大全货机投放力度，建设国际5号货站等货运设施，推广货物通关前置服务，提升航空货物运输能力。有序规划布局建设通用机场。</w:t>
      </w:r>
    </w:p>
    <w:p w14:paraId="09887B9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增强国际航运枢纽综合服务能力。强化以南沙港区为核心、黄埔港区和新沙港区为重要功能区的港口功能布局，增强内港港区、黄埔老港客运功能，推动货运功能适度向南沙港区、黄埔港区新港作业区和新沙港区集聚，强化枢纽港和支线港协同发展，形成面向国际、覆盖泛珠三角区域的“国际枢纽海港+内河港+内陆港”的港口发展格局。深化研究珠江口伶仃洋深水港，探索与港澳携手拓展大湾区港口群发展空间，促进粤港澳大湾区港口优化整合、创新合作、功能提升。加快码头、航道、锚地项目建设，提升港口综合通过能力。丰富地中海、亚洲和非洲航线，拓宽“21世纪海上丝绸之路”国际航运通道，拓展欧美远洋集装箱班轮航线，力争开通集装箱班轮航线达300条。支持龙头企业参与珠江—西江流域港口码头建设，推动与无水港共建陆海组合港，增强腹地航运服务能力。</w:t>
      </w:r>
    </w:p>
    <w:p w14:paraId="4D4CE22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提高铁路枢纽能级。按照“多站布局、多点到发、客内货外、互联互通”的目标，优化“五主四辅”客运枢纽</w:t>
      </w:r>
      <w:r>
        <w:rPr>
          <w:rFonts w:hint="eastAsia" w:ascii="宋体" w:hAnsi="宋体" w:eastAsia="宋体" w:cs="宋体"/>
          <w:i w:val="0"/>
          <w:iCs w:val="0"/>
          <w:caps w:val="0"/>
          <w:color w:val="333333"/>
          <w:spacing w:val="0"/>
          <w:sz w:val="15"/>
          <w:szCs w:val="15"/>
          <w:bdr w:val="none" w:color="auto" w:sz="0" w:space="0"/>
          <w:shd w:val="clear" w:fill="FFFFFF"/>
          <w:vertAlign w:val="superscript"/>
        </w:rPr>
        <w:t>89</w:t>
      </w:r>
      <w:r>
        <w:rPr>
          <w:rFonts w:hint="eastAsia" w:ascii="宋体" w:hAnsi="宋体" w:eastAsia="宋体" w:cs="宋体"/>
          <w:i w:val="0"/>
          <w:iCs w:val="0"/>
          <w:caps w:val="0"/>
          <w:color w:val="333333"/>
          <w:spacing w:val="0"/>
          <w:sz w:val="24"/>
          <w:szCs w:val="24"/>
          <w:bdr w:val="none" w:color="auto" w:sz="0" w:space="0"/>
          <w:shd w:val="clear" w:fill="FFFFFF"/>
        </w:rPr>
        <w:t>布局。大力实施铁路枢纽能级提升工程。规划形成“四面八方、四通八达”的对外战略通道，完善十大对外高铁通道</w:t>
      </w:r>
      <w:r>
        <w:rPr>
          <w:rFonts w:hint="eastAsia" w:ascii="宋体" w:hAnsi="宋体" w:eastAsia="宋体" w:cs="宋体"/>
          <w:i w:val="0"/>
          <w:iCs w:val="0"/>
          <w:caps w:val="0"/>
          <w:color w:val="333333"/>
          <w:spacing w:val="0"/>
          <w:sz w:val="15"/>
          <w:szCs w:val="15"/>
          <w:bdr w:val="none" w:color="auto" w:sz="0" w:space="0"/>
          <w:shd w:val="clear" w:fill="FFFFFF"/>
          <w:vertAlign w:val="superscript"/>
        </w:rPr>
        <w:t>90</w:t>
      </w:r>
      <w:r>
        <w:rPr>
          <w:rFonts w:hint="eastAsia" w:ascii="宋体" w:hAnsi="宋体" w:eastAsia="宋体" w:cs="宋体"/>
          <w:i w:val="0"/>
          <w:iCs w:val="0"/>
          <w:caps w:val="0"/>
          <w:color w:val="333333"/>
          <w:spacing w:val="0"/>
          <w:sz w:val="24"/>
          <w:szCs w:val="24"/>
          <w:bdr w:val="none" w:color="auto" w:sz="0" w:space="0"/>
          <w:shd w:val="clear" w:fill="FFFFFF"/>
        </w:rPr>
        <w:t>，实现1小时直连大湾区、2小时互通省内、3小时互达邻近省会城市、5小时连通国家级城市群。提升货运服务能力，推进柳州至广州铁路规划建设，打通广州至大西南地区货运铁路干线瓶颈。加快建设中欧班列广州集结中心，开行定点、定线、定车次、定时、定价班列，推动广州铁路枢纽与铁路国际运输大通道常态化联通运营。推进粤港澳大湾区城际铁路建设，持续推动城际铁路公交化运营。加速织密地铁网络，完善以城市轨道交通为主骨架的公共交通网络。建成开通13号线二期、8号线北延段等城市轨道交通项目，积极申报新一轮城市轨道交通建设规划，城市轨道交通运营里程达880公里。开展全国轨道交通“四网融合”</w:t>
      </w:r>
      <w:r>
        <w:rPr>
          <w:rFonts w:hint="eastAsia" w:ascii="宋体" w:hAnsi="宋体" w:eastAsia="宋体" w:cs="宋体"/>
          <w:i w:val="0"/>
          <w:iCs w:val="0"/>
          <w:caps w:val="0"/>
          <w:color w:val="333333"/>
          <w:spacing w:val="0"/>
          <w:sz w:val="15"/>
          <w:szCs w:val="15"/>
          <w:bdr w:val="none" w:color="auto" w:sz="0" w:space="0"/>
          <w:shd w:val="clear" w:fill="FFFFFF"/>
          <w:vertAlign w:val="superscript"/>
        </w:rPr>
        <w:t>91</w:t>
      </w:r>
      <w:r>
        <w:rPr>
          <w:rFonts w:hint="eastAsia" w:ascii="宋体" w:hAnsi="宋体" w:eastAsia="宋体" w:cs="宋体"/>
          <w:i w:val="0"/>
          <w:iCs w:val="0"/>
          <w:caps w:val="0"/>
          <w:color w:val="333333"/>
          <w:spacing w:val="0"/>
          <w:sz w:val="24"/>
          <w:szCs w:val="24"/>
          <w:bdr w:val="none" w:color="auto" w:sz="0" w:space="0"/>
          <w:shd w:val="clear" w:fill="FFFFFF"/>
        </w:rPr>
        <w:t>试点，打造多层次轨道交通融合发展全国示范标杆。</w:t>
      </w:r>
    </w:p>
    <w:p w14:paraId="0B840C0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完善现代化道路交通网络。实施高速公路网“疏堵保畅”工程，加快建设狮子洋通道、惠州至肇庆高速公路、清远至花都高速公路、华南快速路二期改扩建等项目。推动普通国省干道扩能提质，建设国道G228线上横沥大桥拆除重建、洪奇沥大桥改扩建、省道S256线江龙大桥改扩建等项目。实施农村公路“单改双”行动。推进东江通道等都市圈跨市域道路建设。实施市域骨架路网提升工程，加快黄埔至南沙东部快速通道、广州北部至中心城区等市政道路建设，促进组团内部便捷融合发展。完善白云国际机场、南沙港区、广州白云站、广州国际港站等客货运枢纽集疏运道路网络。完善城市慢行交通网络。健全电动自行车综合治理长效机制，系统推进电动自行车全链条监管，加强共享单车综合治理。推进交通组织微循环</w:t>
      </w:r>
      <w:r>
        <w:rPr>
          <w:rFonts w:hint="eastAsia" w:ascii="宋体" w:hAnsi="宋体" w:eastAsia="宋体" w:cs="宋体"/>
          <w:i w:val="0"/>
          <w:iCs w:val="0"/>
          <w:caps w:val="0"/>
          <w:color w:val="333333"/>
          <w:spacing w:val="0"/>
          <w:sz w:val="15"/>
          <w:szCs w:val="15"/>
          <w:bdr w:val="none" w:color="auto" w:sz="0" w:space="0"/>
          <w:shd w:val="clear" w:fill="FFFFFF"/>
          <w:vertAlign w:val="superscript"/>
        </w:rPr>
        <w:t>92</w:t>
      </w:r>
      <w:r>
        <w:rPr>
          <w:rFonts w:hint="eastAsia" w:ascii="宋体" w:hAnsi="宋体" w:eastAsia="宋体" w:cs="宋体"/>
          <w:i w:val="0"/>
          <w:iCs w:val="0"/>
          <w:caps w:val="0"/>
          <w:color w:val="333333"/>
          <w:spacing w:val="0"/>
          <w:sz w:val="24"/>
          <w:szCs w:val="24"/>
          <w:bdr w:val="none" w:color="auto" w:sz="0" w:space="0"/>
          <w:shd w:val="clear" w:fill="FFFFFF"/>
        </w:rPr>
        <w:t>和交通设施微改造，加强医院、文化馆、博物馆、图书馆、交通枢纽、景区、商圈等停车设施规划建设，大力发展智慧停车，倡导停车资源错峰共享利用。</w:t>
      </w:r>
    </w:p>
    <w:tbl>
      <w:tblPr>
        <w:tblW w:w="88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501"/>
        <w:gridCol w:w="8349"/>
      </w:tblGrid>
      <w:tr w14:paraId="17436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rPr>
          <w:trHeight w:val="0" w:hRule="atLeast"/>
        </w:trPr>
        <w:tc>
          <w:tcPr>
            <w:tcW w:w="11239"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1E0D20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Style w:val="6"/>
                <w:rFonts w:hint="eastAsia" w:ascii="宋体" w:hAnsi="宋体" w:eastAsia="宋体" w:cs="宋体"/>
                <w:i w:val="0"/>
                <w:iCs w:val="0"/>
                <w:caps w:val="0"/>
                <w:color w:val="333333"/>
                <w:spacing w:val="0"/>
                <w:sz w:val="24"/>
                <w:szCs w:val="24"/>
                <w:bdr w:val="none" w:color="auto" w:sz="0" w:space="0"/>
              </w:rPr>
              <w:t>专栏8  综合交通枢纽提升行动</w:t>
            </w:r>
          </w:p>
        </w:tc>
      </w:tr>
      <w:tr w14:paraId="47BAE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rPr>
          <w:trHeight w:val="0" w:hRule="atLeast"/>
        </w:trPr>
        <w:tc>
          <w:tcPr>
            <w:tcW w:w="55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2E60B1D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01</w:t>
            </w:r>
          </w:p>
        </w:tc>
        <w:tc>
          <w:tcPr>
            <w:tcW w:w="829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B149F1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航空及低空项目</w:t>
            </w:r>
          </w:p>
          <w:p w14:paraId="726D74E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建设白云国际机场T1航站楼改造等项目，规划建设一批低空飞行起降设施。</w:t>
            </w:r>
          </w:p>
        </w:tc>
      </w:tr>
      <w:tr w14:paraId="44941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55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3D5D5DB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02</w:t>
            </w:r>
          </w:p>
        </w:tc>
        <w:tc>
          <w:tcPr>
            <w:tcW w:w="829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D8FA18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航运项目</w:t>
            </w:r>
          </w:p>
          <w:p w14:paraId="3B0DB81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建设广州港南沙港区五期工程、南沙港区国际通用码头工程、广州港20万吨级航道及二期工程、广州港出海航道北段优化工程等项目，推动珠江电厂煤码头等现有码头技术改造，规划建设南沙港区国际海铁联运码头、番禺龙沙码头二期、莲沙容水道航道二期工程等项目。</w:t>
            </w:r>
          </w:p>
        </w:tc>
      </w:tr>
      <w:tr w14:paraId="60FD6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55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57F1943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03</w:t>
            </w:r>
          </w:p>
        </w:tc>
        <w:tc>
          <w:tcPr>
            <w:tcW w:w="829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EF3FB4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国家铁路及枢纽项目</w:t>
            </w:r>
          </w:p>
          <w:p w14:paraId="52E4FC8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建设广河高铁白云机场T3至江村西段、深圳至江门铁路、广州站至广州南站联络线、广州东站改造及广州东至新塘五六线等项目，规划建设广州至珠海（澳门）高铁、永州经清远至广州高铁、柳州至广州铁路、广州站改造及广州至广州东三四线、广州北站改造等项目。研究建设广州至河源高铁、贵广高铁广宁联络线、广深高铁新通道等项目。</w:t>
            </w:r>
          </w:p>
        </w:tc>
      </w:tr>
      <w:tr w14:paraId="5CF6A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55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492E181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04</w:t>
            </w:r>
          </w:p>
        </w:tc>
        <w:tc>
          <w:tcPr>
            <w:tcW w:w="829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38BB40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城际轨道交通项目</w:t>
            </w:r>
          </w:p>
          <w:p w14:paraId="4734C43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建设广州东至天贵城际、芳村至白云机场城际、南沙至珠海（中山）城际、珠三角城际轨道交通广佛环线佛山西站至广州北站段、佛山经广州至东莞城际等项目，规划建设中南虎城际（赣深高铁南沙支线）、肇顺南城际等项目。</w:t>
            </w:r>
          </w:p>
        </w:tc>
      </w:tr>
      <w:tr w14:paraId="6A317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55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449D135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05</w:t>
            </w:r>
          </w:p>
        </w:tc>
        <w:tc>
          <w:tcPr>
            <w:tcW w:w="829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5497A25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城市轨道项目</w:t>
            </w:r>
          </w:p>
          <w:p w14:paraId="6A502E4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建成开通城市轨道交通第三期建设规划（含调整）项目，积极申报新一轮城市轨道交通建设规划。加快建设广州东站片区TOD开发、槎头车辆段综合体、广钢新城停车场综合体、双岗停车场综合体等TOD开发工程，以及鱼珠车辆段更新改造、西塱车辆段更新改造等更新改造项目。</w:t>
            </w:r>
          </w:p>
        </w:tc>
      </w:tr>
      <w:tr w14:paraId="28534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55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032E2C3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06</w:t>
            </w:r>
          </w:p>
        </w:tc>
        <w:tc>
          <w:tcPr>
            <w:tcW w:w="829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344EB8B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高速公路项目</w:t>
            </w:r>
          </w:p>
          <w:p w14:paraId="2A45E7E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建设狮子洋通道、惠州至肇庆高速公路白云至三水段、广州机场高速公路改扩建、沈阳至海口国家高速公路火村至龙山段改扩建（北二环高速改扩建）、京港澳高速公路粤境清远佛冈至广州太和段改扩建、清远清新至广州花都高速公路、京港澳高速公路广州火村至东莞长安段及广佛高速公路广州黄村至火村段改扩建、华南快速路二期（太和—岑村站）改扩建、广澳高速公路南沙至珠海段改扩建、惠州至肇庆高速公路惠城至增城段、济广高速公路惠州小金口至广州萝岗段及广惠高速公路惠州小金口至凌坑段改扩建、莞佛高速公路虎门大桥段改扩建等项目，规划建设沈海高速广州龙山至佛山小塘段改扩建等项目。研究建设莲花山通道、广佛大桥系统工程（二期）等项目。</w:t>
            </w:r>
          </w:p>
        </w:tc>
      </w:tr>
      <w:tr w14:paraId="77591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55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5AC70C3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07</w:t>
            </w:r>
          </w:p>
        </w:tc>
        <w:tc>
          <w:tcPr>
            <w:tcW w:w="829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596CAAE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市政路桥项目</w:t>
            </w:r>
          </w:p>
          <w:p w14:paraId="1298BB0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建设如意坊放射线系统工程、空港大道、106国道改造工程、鱼珠隧道、城市快捷路二期（东沙—石岗隧道）、会展西路过江隧道、钟太快速西延线工程、沉香大桥、黄埔至南沙东部快速通道、机场第二高速至T2航站楼连接线等项目，规划建设东江通道、金光大道（兴业大道至金山大道）、花城大道东延线等项目。</w:t>
            </w:r>
          </w:p>
        </w:tc>
      </w:tr>
    </w:tbl>
    <w:p w14:paraId="2305611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9903FF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增强能源资源保障能力</w:t>
      </w:r>
    </w:p>
    <w:p w14:paraId="262FA97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8D07D4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建设新型能源体系。全面落实能源安全新战略，推动能源供应保障多元化，构建新型能源体系，建设能源强市。加快建设新型电力系统，推动主干电网提质升级，优化配电网建设布局，强化源网荷储一体化发展和柔性互动，构建新型电网。建设增城旺隆、白云恒运、知识城恒运等天然气发电本地骨干电源项目，实施珠江电厂、恒运电厂煤电机组等容量替代项目。加快500千伏海珠站、傍海站、花西站及输电线路建设。加强藏粤直流输电工程等跨省区输电通道建设。开展智能电网主配一体化工程建设，提升电网自动化智能化运营能力，支持重点区域、重要输电通道、高压电缆隧道等智慧线路建设，构建变电站和换流站智能运检、输电线路智能巡检、配电智能运维体系。加快充电基础设施建设，推进国家新能源汽车与电网高效融合双向充放电示范试点，新建公共充电设施4万个左右。稳定西气东输等上游天然气气源，加强国家管网等主干油气长输管道保护。积极谋划进口液化天然气接收设施项目。大力发展新型储能、氢能、分布式光伏等新能源和可再生能源，拓展应用场景。推动知识城储能电站等建设，发挥广州市虚拟电厂管理中心作用，提升用户侧储能调节能力。推进建设分布式光伏发电项目。推进氢能基础设施布局建设，支持加油加气加氢充电一体站建设。</w:t>
      </w:r>
    </w:p>
    <w:p w14:paraId="0C1602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完善水资源配置格局。落实国家水网建设要求，夯实多流域水源保障体系，提升水资源调配、城乡供水保障能力。加快北部水厂扩建工程建设，推进万顷沙水厂工程前期研究，全市水厂综合生产能力达1000万立方米/日。推进大封门水库扩容、南大水库扩容、沙迳水库及番禺应急备用水源等工程建设，提升应急备用水源供水能力。推动区域供水管网互联互通，提升供水管网整体稳定性。推动非常规水源利用，建设增城朱村灌区、净水厂尾水补水、热电厂再生水利用等工程。完成流溪河流域水预算管理试点建设，探索建立流域水预算管理制度。动态更新改造老旧管网，完成国家、省供水漏损控制考核任务。</w:t>
      </w:r>
    </w:p>
    <w:p w14:paraId="471760B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8DA577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第六篇  构建多层次改革矩阵，坚定不移在进一步全面深化改革中当好排头兵</w:t>
      </w:r>
    </w:p>
    <w:p w14:paraId="2D8D577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3834B2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更好发挥经济体制改革牵引作用，以要素市场化配置综合改革等国家级重大改革试点为引擎，以重点领域关键环节改革突破为抓手，推动有效市场和有为政府更好结合，持续为高质量发展注入新动力、增添新活力、拓展新空间。</w:t>
      </w:r>
    </w:p>
    <w:p w14:paraId="4091967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F57EFD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第十六章  强化改革试点示范</w:t>
      </w:r>
    </w:p>
    <w:p w14:paraId="1F4F2F7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CC0E51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立足国家所需、广州所能，切实发挥重大改革试点的示范、突破、带动作用，为全面深化改革提供坚强支撑。</w:t>
      </w:r>
    </w:p>
    <w:p w14:paraId="1A701B1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B3435E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打造重大改革试点新标杆</w:t>
      </w:r>
    </w:p>
    <w:p w14:paraId="325A222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6537988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推进国家要素市场化配置综合改革试点。优化重点领域要素配置，围绕促进技术要素成果转化、提高土地要素配置效率、引导人力资源要素畅通流动、加快培育数据要素市场、增强资本要素配置能力、加强资源环境市场制度建设等六大领域深化改革，不断探索要素系统集成配置的新模式，全面完成国家要素市场化配置综合改革试点任务。紧扣国家战略导向，深入实施国家级场景建设、国资国企要素改革、服务业要素保障、技术要素成果转化、数据要素市场化配置等专项行动，着力破除要素自由流动和高效配置的体制机制障碍，强化各类要素协同发力，推动要素配置实现效率最大化和效益最优化，全面提升面向全球的资源要素配置能级。</w:t>
      </w:r>
    </w:p>
    <w:p w14:paraId="03B1255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构筑全国场景创新高地。创新“政府主导、机构支持、企业运作”的全链条场景协同工作机制，强化市级统筹与谋划，以改革创新办法推进场景培育和开放。争取纳入全国场景改革试点城市，聚焦清洁能源、现代农业等重点领域，高水平建设一批具有全局影响力的国家综合性重大场景。组织实施标志性重大项目，在全国率先形成“技术突破—场景验证—产业应用—体系升级”的创新路径。在数字经济、人工智能等新领域新赛道布局前沿应用场景，在智能制造、智能仓储和智慧物流等领域培育产业转型升级新业态场景，在应急等行业领域开发专业应用场景，在政务服务、城市治理、社会民生等领域打造智慧场景。深化准入、场景、要素“三位一体”改革，促进大中小企业融通创新，构建梯次衔接、全域联动的场景生态培育体系，打造全国场景创新第一城。</w:t>
      </w:r>
    </w:p>
    <w:tbl>
      <w:tblPr>
        <w:tblW w:w="892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563"/>
        <w:gridCol w:w="8362"/>
      </w:tblGrid>
      <w:tr w14:paraId="23E18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11239"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47FF55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Style w:val="6"/>
                <w:rFonts w:hint="eastAsia" w:ascii="宋体" w:hAnsi="宋体" w:eastAsia="宋体" w:cs="宋体"/>
                <w:i w:val="0"/>
                <w:iCs w:val="0"/>
                <w:caps w:val="0"/>
                <w:color w:val="333333"/>
                <w:spacing w:val="0"/>
                <w:sz w:val="24"/>
                <w:szCs w:val="24"/>
                <w:bdr w:val="none" w:color="auto" w:sz="0" w:space="0"/>
              </w:rPr>
              <w:t>专栏9  国家综合性重大场景培育开放行动</w:t>
            </w:r>
          </w:p>
        </w:tc>
      </w:tr>
      <w:tr w14:paraId="45D80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73A25A6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01</w:t>
            </w:r>
          </w:p>
        </w:tc>
        <w:tc>
          <w:tcPr>
            <w:tcW w:w="829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41A7B77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清洁能源场景</w:t>
            </w:r>
          </w:p>
          <w:p w14:paraId="0500A9E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对接能源安全新战略、绿色低碳转型发展要求，以氢能、新型储能为重点领域，推动构建以广州为核心、多省联动的氢能干线网络，依托南方电网构建储能全场景应用平台，打造全产业链协同、跨区域联动开放型综合场景，实现硬件成网、软件互通、体系验证协同发展。</w:t>
            </w:r>
          </w:p>
        </w:tc>
      </w:tr>
      <w:tr w14:paraId="0069E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182C505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02</w:t>
            </w:r>
          </w:p>
        </w:tc>
        <w:tc>
          <w:tcPr>
            <w:tcW w:w="829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1AF31B2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现代农业场景</w:t>
            </w:r>
          </w:p>
          <w:p w14:paraId="42235F2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对接国家种业振兴与粮食安全战略，以种业为牵引，深化与农粮领域央国企战略合作，构建覆盖“育种创新—品种审定—繁育推广—市场应用”全链条的现代农业综合性场景，实现从技术源头到终端市场的系统性突破。</w:t>
            </w:r>
          </w:p>
        </w:tc>
      </w:tr>
    </w:tbl>
    <w:p w14:paraId="646F309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1A11805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主动承接重大改革任务</w:t>
      </w:r>
    </w:p>
    <w:p w14:paraId="24455CC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rPr>
          <w:rFonts w:hint="eastAsia" w:ascii="宋体" w:hAnsi="宋体" w:eastAsia="宋体" w:cs="宋体"/>
          <w:i w:val="0"/>
          <w:iCs w:val="0"/>
          <w:caps w:val="0"/>
          <w:color w:val="333333"/>
          <w:spacing w:val="0"/>
          <w:sz w:val="24"/>
          <w:szCs w:val="24"/>
        </w:rPr>
      </w:pPr>
    </w:p>
    <w:p w14:paraId="0739080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强化改革统筹力量，探索构建跨部门实体化运作机制，形成高位赋能与过程可控的改革推进体系。高标准实施国家及省重大改革试点，有效发挥服务业扩大开放、市场准入和监管体制、国际消费中心城市、国家数据基础设施建设（先行先试）等各级各类改革试点作用，努力形成一批在全国范围可复制推广的经验做法。紧密围绕国家关于发展新质生产力、经济大省挑大梁、区域协调发展等重大部署，积极争取更多改革试点政策支持，主动承接国家及省改革试点任务。探索经济高质量发展有效路径，争取在行政审批、科技创新、土地管理、规划建设、综合监管等领域赋予经济大市更高经济社会管理权限。</w:t>
      </w:r>
    </w:p>
    <w:p w14:paraId="18D185F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532D60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第十七章  高标准实施集成式改革</w:t>
      </w:r>
    </w:p>
    <w:p w14:paraId="4533B61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3F9EA5B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树立全市经济发展“一盘棋”思想，加强部门协同联动和政策统筹衔接，促进经济政策与非经济政策协同发力，充分发挥市场在资源配置中的决定性作用，更好发挥政府作用，加快形成既“放得活”又“管得好”的经济秩序。</w:t>
      </w:r>
    </w:p>
    <w:p w14:paraId="03BD442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070C36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创新投融资机制</w:t>
      </w:r>
    </w:p>
    <w:p w14:paraId="5E9C5F3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2044CC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优化政府投资管理机制。注重投新、投缺、投基础、投长远，坚持投资于人与投资于物紧密结合，保持投资合理增长，提高投资综合效益，强化政府投资对支撑战略规划、优化供给结构、满足民生需求的作用。精准对标中央投资方向，优化政府投资结构，集中力量支持国家重大战略实施和重点领域安全能力项目建设，提高民生类政府投资比重，谋划更多优结构、补短板、惠民生、增动能的优质项目，实施一批重大标志性工程项目。深化投资审批制度改革，提升投资审批服务效能。完善广州市固定资产投资调度管理平台建设，建立健全全口径项目储备库，加强项目信息共享和全过程管理。加强政府投资全过程管理，强化战略规划引领、项目谋划储备论证和事中事后监管，避免超前建设和低效无效投资。</w:t>
      </w:r>
    </w:p>
    <w:p w14:paraId="2FD2309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激发民间投资活力。坚持平等对待、保护权益、政策协同，拓宽民间投资空间，提高民间投资比重，有效调动民间投资积极性。依法保障民营企业投资运营合法权益，平等保障用地、融资等要素需求，进一步清除重点领域民间投资不合理限制，加大向民间资本推介项目力度，建立面向民间资本推介重点领域项目常态化线上机制，健全民间投资服务与评估机制。推动基础设施竞争性领域向经营主体公平开放，支持民营企业参与城中村改造、重大功能片区建设，完善民营企业参与铁路、水电、直流输电通道、油气管道、氢能、供水等重大项目建设长效机制，推动具备条件的项目进一步提高民营企业参股比例。引导民间资本加大对低空经济、商业航天等新质生产力以及新兴服务业、新型基础设施等领域投资，持续扩大产业投资。支持民营企业扩大创新投入，推动民营企业参与研发创新平台建设。加强政府投资基金布局规划和投向指导评价，更好发挥政府投资引导带动作用，推动民间资本与国有资本联合投资重大项目，健全“投融管退”机制。</w:t>
      </w:r>
    </w:p>
    <w:p w14:paraId="6BDCE97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拓展多元化投融资渠道。积极盘活存量资产，聚焦使用者付费，规范实施政府和社会资本合作（PPP）新机制，加快推动存量资产通过发行基础设施领域不动产投资信托基金（REITs）、产权转让、资产重组等方式进行盘活。加快推动超甲级和甲级商务楼宇、酒店、商业综合体等优质项目申报发行商业不动产投资信托基金。积极争取超长期特别国债、中央预算内投资、地方政府专项债券、新型政策性金融工具等各类政策性资金，优化中央政策性资金管理机制，加强专款专用、专户管理，提高项目资金支付比例。强化财政与金融协同，持续加强投债贷联动，促进投资效益不断提升。</w:t>
      </w:r>
    </w:p>
    <w:p w14:paraId="51265E7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6E2F2E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深化财税体制和价格机制改革</w:t>
      </w:r>
    </w:p>
    <w:p w14:paraId="6F343C6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6D1C8A0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深化财税体制改革。加强财政科学管理，全面提升系统化、精细化、标准化、法治化水平。加强财政资源和预算统筹，把依托行政权力、政府信用、国有资源资产获取的收入等全部纳入政府预算管理，优化国有资本利润分配和收益上缴机制，强化国家、省、市重大战略任务和基本民生财力保障。深化零基预算</w:t>
      </w:r>
      <w:r>
        <w:rPr>
          <w:rFonts w:hint="eastAsia" w:ascii="宋体" w:hAnsi="宋体" w:eastAsia="宋体" w:cs="宋体"/>
          <w:i w:val="0"/>
          <w:iCs w:val="0"/>
          <w:caps w:val="0"/>
          <w:color w:val="333333"/>
          <w:spacing w:val="0"/>
          <w:sz w:val="15"/>
          <w:szCs w:val="15"/>
          <w:bdr w:val="none" w:color="auto" w:sz="0" w:space="0"/>
          <w:shd w:val="clear" w:fill="FFFFFF"/>
          <w:vertAlign w:val="superscript"/>
        </w:rPr>
        <w:t>93</w:t>
      </w:r>
      <w:r>
        <w:rPr>
          <w:rFonts w:hint="eastAsia" w:ascii="宋体" w:hAnsi="宋体" w:eastAsia="宋体" w:cs="宋体"/>
          <w:i w:val="0"/>
          <w:iCs w:val="0"/>
          <w:caps w:val="0"/>
          <w:color w:val="333333"/>
          <w:spacing w:val="0"/>
          <w:sz w:val="24"/>
          <w:szCs w:val="24"/>
          <w:bdr w:val="none" w:color="auto" w:sz="0" w:space="0"/>
          <w:shd w:val="clear" w:fill="FFFFFF"/>
        </w:rPr>
        <w:t>改革，强化财政资金竞争性分配机制，统一预算分配权，提高预算管理统一性、规范性。优化财政支出结构，增强“决策包”“项目库”“资金池”的精确度和协同性。深化预算绩效管理，完善预算公开制度，加大财会监督力度，健全权责发生制政府综合财务报告制度，深化财政资金“补改投”改革，做优建强政府投资基金，放大财政资金撬动效用。完善市对区财政管理体制，理顺市区政府间收入关系，合理调整共享税种范围，健全市区财政事权和支出责任体系，优化市对区转移支付制度，建立促进各区高质量发展的转移支付激励约束机制。落实税收制度改革任务及各项税费优惠政策，深化税收共治。</w:t>
      </w:r>
    </w:p>
    <w:p w14:paraId="7B51F1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深入推进价格机制改革。完善主要由市场供求关系决定价格机制，加强和改善价格治理。建立重要商品和服务的价格区间调控制度，加强重要民生商品保供稳价工作。稳妥有序推进能源资源、交通运输等重点领域要素价格市场化改革，营造竞争有序、公开公正的市场环境。明确政府投入和使用者付费的边界，强化企业成本约束和收益监管，综合评估成本变化、质量安全等因素，充分考虑群众承受能力，优化自来水、管道燃气、垃圾处理、污水处理等公用事业价格动态调整机制。完善促进均衡可及的公共服务价格政策，加强教育、医疗、养老、托育、殡葬等服务收费管理。探索构建数据等新型生产要素价格形成机制。优化实行市场调节价商品和服务的价格行为监管规则，强化事前引导预防和事中事后监管，维护市场价格秩序。</w:t>
      </w:r>
    </w:p>
    <w:p w14:paraId="20DC8F6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3BA21D0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第三节  提升政府服务经济发展效能</w:t>
      </w:r>
    </w:p>
    <w:p w14:paraId="2935E43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36CDEC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提质升级营商环境一号改革工程。巩固提升国家营商环境创新试点城市建设成果，聚焦产业生态最好、政务服务最优、综合成本最低，持续优化产业友好型、企业友好型、企业家友好型营商环境，让市场化法治化国际化营商环境可感可知。推出产业版营商环境实事清单，聚焦经营主体全周期、产业全链条服务的痛点堵点，开展“小切口”精准改革，以务实举措推动营商环境“大转变”。优化适应新产业、新业态发展壮大的制度环境，建立健全快速响应的审批服务与包容审慎监管模式，为新模式、新动能发展留足空间。完善市领导对口联系服务重点企业、重点项目工作机制，优化“无事不扰、有求必应”企业服务模式，实现政府服务专业化、精准化。健全产权立法执法司法保护机制。深化“信用广州”建设，构建守信激励场景生态体系，提升信用助企惠民服务效能。</w:t>
      </w:r>
    </w:p>
    <w:p w14:paraId="72CFC97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优化产业发展生态。健全产业统筹推进机制，优化“五个一”工作体系</w:t>
      </w:r>
      <w:r>
        <w:rPr>
          <w:rFonts w:hint="eastAsia" w:ascii="宋体" w:hAnsi="宋体" w:eastAsia="宋体" w:cs="宋体"/>
          <w:i w:val="0"/>
          <w:iCs w:val="0"/>
          <w:caps w:val="0"/>
          <w:color w:val="333333"/>
          <w:spacing w:val="0"/>
          <w:sz w:val="15"/>
          <w:szCs w:val="15"/>
          <w:bdr w:val="none" w:color="auto" w:sz="0" w:space="0"/>
          <w:shd w:val="clear" w:fill="FFFFFF"/>
          <w:vertAlign w:val="superscript"/>
        </w:rPr>
        <w:t>94</w:t>
      </w:r>
      <w:r>
        <w:rPr>
          <w:rFonts w:hint="eastAsia" w:ascii="宋体" w:hAnsi="宋体" w:eastAsia="宋体" w:cs="宋体"/>
          <w:i w:val="0"/>
          <w:iCs w:val="0"/>
          <w:caps w:val="0"/>
          <w:color w:val="333333"/>
          <w:spacing w:val="0"/>
          <w:sz w:val="24"/>
          <w:szCs w:val="24"/>
          <w:bdr w:val="none" w:color="auto" w:sz="0" w:space="0"/>
          <w:shd w:val="clear" w:fill="FFFFFF"/>
        </w:rPr>
        <w:t>，一体推进“成果转化+招商引资+增资扩产”，抓实产业审视、园区建设、项目招引等关键环节，推动现代化产业体系规划落地见效。拓展产业资金来源，提升一般公共预算支出的产业投入强度，整合组建广州产业发展基金，设立人工智能、生物医药、低空经济与航空航天等一批关键产业专项基金，深化“贷股担保租补”协同服务机制。加强成片连片、配套成熟、生态良好的重点地块储备，为生产力骨干项目承接、产业集群发展预留空间。健全产业用地用房保障机制，完善“工业集聚区—工业产业区块—工业用地”保障体系，实施年度新增万亩工业用地计划，动态更新“广州市招商土地超市”</w:t>
      </w:r>
      <w:r>
        <w:rPr>
          <w:rFonts w:hint="eastAsia" w:ascii="宋体" w:hAnsi="宋体" w:eastAsia="宋体" w:cs="宋体"/>
          <w:i w:val="0"/>
          <w:iCs w:val="0"/>
          <w:caps w:val="0"/>
          <w:color w:val="333333"/>
          <w:spacing w:val="0"/>
          <w:sz w:val="15"/>
          <w:szCs w:val="15"/>
          <w:bdr w:val="none" w:color="auto" w:sz="0" w:space="0"/>
          <w:shd w:val="clear" w:fill="FFFFFF"/>
          <w:vertAlign w:val="superscript"/>
        </w:rPr>
        <w:t>95</w:t>
      </w:r>
      <w:r>
        <w:rPr>
          <w:rFonts w:hint="eastAsia" w:ascii="宋体" w:hAnsi="宋体" w:eastAsia="宋体" w:cs="宋体"/>
          <w:i w:val="0"/>
          <w:iCs w:val="0"/>
          <w:caps w:val="0"/>
          <w:color w:val="333333"/>
          <w:spacing w:val="0"/>
          <w:sz w:val="24"/>
          <w:szCs w:val="24"/>
          <w:bdr w:val="none" w:color="auto" w:sz="0" w:space="0"/>
          <w:shd w:val="clear" w:fill="FFFFFF"/>
        </w:rPr>
        <w:t>，推广“大项目供地、中项目供楼、小项目租赁厂房”分级发展模式。</w:t>
      </w:r>
    </w:p>
    <w:p w14:paraId="6AEFB3F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深度参与构建全国统一大市场。全面落实“五统一、一开放”</w:t>
      </w:r>
      <w:r>
        <w:rPr>
          <w:rFonts w:hint="eastAsia" w:ascii="宋体" w:hAnsi="宋体" w:eastAsia="宋体" w:cs="宋体"/>
          <w:i w:val="0"/>
          <w:iCs w:val="0"/>
          <w:caps w:val="0"/>
          <w:color w:val="333333"/>
          <w:spacing w:val="0"/>
          <w:sz w:val="15"/>
          <w:szCs w:val="15"/>
          <w:bdr w:val="none" w:color="auto" w:sz="0" w:space="0"/>
          <w:shd w:val="clear" w:fill="FFFFFF"/>
          <w:vertAlign w:val="superscript"/>
        </w:rPr>
        <w:t>96</w:t>
      </w:r>
      <w:r>
        <w:rPr>
          <w:rFonts w:hint="eastAsia" w:ascii="宋体" w:hAnsi="宋体" w:eastAsia="宋体" w:cs="宋体"/>
          <w:i w:val="0"/>
          <w:iCs w:val="0"/>
          <w:caps w:val="0"/>
          <w:color w:val="333333"/>
          <w:spacing w:val="0"/>
          <w:sz w:val="24"/>
          <w:szCs w:val="24"/>
          <w:bdr w:val="none" w:color="auto" w:sz="0" w:space="0"/>
          <w:shd w:val="clear" w:fill="FFFFFF"/>
        </w:rPr>
        <w:t>基本要求，规范政府经济促进行为，清除要素获取、资质认定、招标投标、政府采购等方面壁垒。综合整治“内卷式”竞争，结合各区发展定位和核心功能，健全招商引资决策和评价、统计和考核等机制。支持行业协会、产业联盟参与国家标准体系建设，引导经营主体从“卷价格”“卷规模”向“提价值”“拼技术”“优服务”转变。</w:t>
      </w:r>
    </w:p>
    <w:p w14:paraId="4A60217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5C89F3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第十八章  充分激发各类经营主体活力</w:t>
      </w:r>
    </w:p>
    <w:p w14:paraId="04E8E8C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rPr>
          <w:rFonts w:hint="eastAsia" w:ascii="宋体" w:hAnsi="宋体" w:eastAsia="宋体" w:cs="宋体"/>
          <w:i w:val="0"/>
          <w:iCs w:val="0"/>
          <w:caps w:val="0"/>
          <w:color w:val="333333"/>
          <w:spacing w:val="0"/>
          <w:sz w:val="24"/>
          <w:szCs w:val="24"/>
        </w:rPr>
      </w:pPr>
    </w:p>
    <w:p w14:paraId="43EB62F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坚持和落实“两个毫不动摇”，促进各种所有制经济优势互补、共同发展。</w:t>
      </w:r>
    </w:p>
    <w:p w14:paraId="21BFE20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1105E6D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深化国资国企改革</w:t>
      </w:r>
    </w:p>
    <w:p w14:paraId="7574438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rPr>
          <w:rFonts w:hint="eastAsia" w:ascii="宋体" w:hAnsi="宋体" w:eastAsia="宋体" w:cs="宋体"/>
          <w:i w:val="0"/>
          <w:iCs w:val="0"/>
          <w:caps w:val="0"/>
          <w:color w:val="333333"/>
          <w:spacing w:val="0"/>
          <w:sz w:val="24"/>
          <w:szCs w:val="24"/>
        </w:rPr>
      </w:pPr>
    </w:p>
    <w:p w14:paraId="3114C93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深化国资国企改革，持续增强国有企业核心功能，提升核心竞争力。聚焦主责主业，深入推进国有经济布局优化和结构调整，瞄准新产业、新业态、新模式开辟“第二增长曲线”</w:t>
      </w:r>
      <w:r>
        <w:rPr>
          <w:rFonts w:hint="eastAsia" w:ascii="宋体" w:hAnsi="宋体" w:eastAsia="宋体" w:cs="宋体"/>
          <w:i w:val="0"/>
          <w:iCs w:val="0"/>
          <w:caps w:val="0"/>
          <w:color w:val="333333"/>
          <w:spacing w:val="0"/>
          <w:sz w:val="15"/>
          <w:szCs w:val="15"/>
          <w:bdr w:val="none" w:color="auto" w:sz="0" w:space="0"/>
          <w:shd w:val="clear" w:fill="FFFFFF"/>
          <w:vertAlign w:val="superscript"/>
        </w:rPr>
        <w:t>97</w:t>
      </w:r>
      <w:r>
        <w:rPr>
          <w:rFonts w:hint="eastAsia" w:ascii="宋体" w:hAnsi="宋体" w:eastAsia="宋体" w:cs="宋体"/>
          <w:i w:val="0"/>
          <w:iCs w:val="0"/>
          <w:caps w:val="0"/>
          <w:color w:val="333333"/>
          <w:spacing w:val="0"/>
          <w:sz w:val="24"/>
          <w:szCs w:val="24"/>
          <w:bdr w:val="none" w:color="auto" w:sz="0" w:space="0"/>
          <w:shd w:val="clear" w:fill="FFFFFF"/>
        </w:rPr>
        <w:t>。深化国有企业战略性重组和专业化整合，加快打造一批平台型新国企。鼓励国有企业加大研发投入，强化关键核心技术攻关。加快国有企业存量资产资源盘活，增强国有企业价值创造能力。健全国有企业市场化经营机制，提升任期制和契约化管理质量。持续深化国有企业分类改革和分类监管，实施分类治理、分类发展、分类考核，深化公益性业务和竞争性业务分类考核。深化国有资本投资、运营公司改革，培育壮大国有耐心资本、长期资本。推动国有企业加快“走出去”发展，积极融入全球产业链供应链。</w:t>
      </w:r>
    </w:p>
    <w:p w14:paraId="45EC5E2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29BF8F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支持民营经济发展壮大</w:t>
      </w:r>
    </w:p>
    <w:p w14:paraId="6B7F5F7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03FC86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优化民营经济发展环境，打破制约民营经济发展的各类障碍和隐性壁垒，支持民营资本进入法律法规未明确禁止的领域，推进基础设施竞争性领域和重要应用场景向民营企业公平开放。建好用好民营经济发展综合服务平台，健全“问题收集—办理—反馈—跟踪回访”闭环机制，发挥行业协会商会桥梁纽带作用，及时协调解决民营经济发展重大问题，提升民营企业服务质效。持续实施“新时代穗商培养工程”</w:t>
      </w:r>
      <w:r>
        <w:rPr>
          <w:rFonts w:hint="eastAsia" w:ascii="宋体" w:hAnsi="宋体" w:eastAsia="宋体" w:cs="宋体"/>
          <w:i w:val="0"/>
          <w:iCs w:val="0"/>
          <w:caps w:val="0"/>
          <w:color w:val="333333"/>
          <w:spacing w:val="0"/>
          <w:sz w:val="15"/>
          <w:szCs w:val="15"/>
          <w:bdr w:val="none" w:color="auto" w:sz="0" w:space="0"/>
          <w:shd w:val="clear" w:fill="FFFFFF"/>
          <w:vertAlign w:val="superscript"/>
        </w:rPr>
        <w:t>98</w:t>
      </w:r>
      <w:r>
        <w:rPr>
          <w:rFonts w:hint="eastAsia" w:ascii="宋体" w:hAnsi="宋体" w:eastAsia="宋体" w:cs="宋体"/>
          <w:i w:val="0"/>
          <w:iCs w:val="0"/>
          <w:caps w:val="0"/>
          <w:color w:val="333333"/>
          <w:spacing w:val="0"/>
          <w:sz w:val="24"/>
          <w:szCs w:val="24"/>
          <w:bdr w:val="none" w:color="auto" w:sz="0" w:space="0"/>
          <w:shd w:val="clear" w:fill="FFFFFF"/>
        </w:rPr>
        <w:t>，加大对优秀民营企业家、民企优秀技能人才的培育和引进力度，积极培育新生代企业家。依法保护民营企业产权和企业家合法权益。健全民营企业融资增信支持体系，畅通多元化融资渠道，用好支农支小再贷款政策，降低民营小微企业融资成本。提升民营经济市场竞争力与抗风险能力，充分发挥民营企业就业“蓄水池”作用。高水平建设广州民营科技园。支持、引导民营企业拓展国际交流合作，提升国际竞争力。</w:t>
      </w:r>
    </w:p>
    <w:p w14:paraId="5E48E81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0777D7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第三节  建立企业育强创优引新补缺机制</w:t>
      </w:r>
    </w:p>
    <w:p w14:paraId="35D6EB1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85E041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围绕现代化产业体系建设，建立重点产业企业培育库和招引库，实施企业育强、创优、引新、补缺工程。支持重点企业瞄准产业链关键环节和核心技术加快资源集聚，通过兼并重组、战略合作等方式做大做优做强，强化对产业链上下游、供应链通道的控制力，培育打造一批根植广州、国内一流、世界领先的“链主”企业。实施“专精特新中小企业”培育行动，催生更多专精特新企业、单项冠军企业</w:t>
      </w:r>
      <w:r>
        <w:rPr>
          <w:rFonts w:hint="eastAsia" w:ascii="宋体" w:hAnsi="宋体" w:eastAsia="宋体" w:cs="宋体"/>
          <w:i w:val="0"/>
          <w:iCs w:val="0"/>
          <w:caps w:val="0"/>
          <w:color w:val="333333"/>
          <w:spacing w:val="0"/>
          <w:sz w:val="15"/>
          <w:szCs w:val="15"/>
          <w:bdr w:val="none" w:color="auto" w:sz="0" w:space="0"/>
          <w:shd w:val="clear" w:fill="FFFFFF"/>
          <w:vertAlign w:val="superscript"/>
        </w:rPr>
        <w:t>99</w:t>
      </w:r>
      <w:r>
        <w:rPr>
          <w:rFonts w:hint="eastAsia" w:ascii="宋体" w:hAnsi="宋体" w:eastAsia="宋体" w:cs="宋体"/>
          <w:i w:val="0"/>
          <w:iCs w:val="0"/>
          <w:caps w:val="0"/>
          <w:color w:val="333333"/>
          <w:spacing w:val="0"/>
          <w:sz w:val="24"/>
          <w:szCs w:val="24"/>
          <w:bdr w:val="none" w:color="auto" w:sz="0" w:space="0"/>
          <w:shd w:val="clear" w:fill="FFFFFF"/>
        </w:rPr>
        <w:t>，培育一批高成长的瞪羚企业</w:t>
      </w:r>
      <w:r>
        <w:rPr>
          <w:rFonts w:hint="eastAsia" w:ascii="宋体" w:hAnsi="宋体" w:eastAsia="宋体" w:cs="宋体"/>
          <w:i w:val="0"/>
          <w:iCs w:val="0"/>
          <w:caps w:val="0"/>
          <w:color w:val="333333"/>
          <w:spacing w:val="0"/>
          <w:sz w:val="15"/>
          <w:szCs w:val="15"/>
          <w:bdr w:val="none" w:color="auto" w:sz="0" w:space="0"/>
          <w:shd w:val="clear" w:fill="FFFFFF"/>
          <w:vertAlign w:val="superscript"/>
        </w:rPr>
        <w:t>100</w:t>
      </w:r>
      <w:r>
        <w:rPr>
          <w:rFonts w:hint="eastAsia" w:ascii="宋体" w:hAnsi="宋体" w:eastAsia="宋体" w:cs="宋体"/>
          <w:i w:val="0"/>
          <w:iCs w:val="0"/>
          <w:caps w:val="0"/>
          <w:color w:val="333333"/>
          <w:spacing w:val="0"/>
          <w:sz w:val="24"/>
          <w:szCs w:val="24"/>
          <w:bdr w:val="none" w:color="auto" w:sz="0" w:space="0"/>
          <w:shd w:val="clear" w:fill="FFFFFF"/>
        </w:rPr>
        <w:t>、独角兽企业</w:t>
      </w:r>
      <w:r>
        <w:rPr>
          <w:rFonts w:hint="eastAsia" w:ascii="宋体" w:hAnsi="宋体" w:eastAsia="宋体" w:cs="宋体"/>
          <w:i w:val="0"/>
          <w:iCs w:val="0"/>
          <w:caps w:val="0"/>
          <w:color w:val="333333"/>
          <w:spacing w:val="0"/>
          <w:sz w:val="15"/>
          <w:szCs w:val="15"/>
          <w:bdr w:val="none" w:color="auto" w:sz="0" w:space="0"/>
          <w:shd w:val="clear" w:fill="FFFFFF"/>
          <w:vertAlign w:val="superscript"/>
        </w:rPr>
        <w:t>101</w:t>
      </w:r>
      <w:r>
        <w:rPr>
          <w:rFonts w:hint="eastAsia" w:ascii="宋体" w:hAnsi="宋体" w:eastAsia="宋体" w:cs="宋体"/>
          <w:i w:val="0"/>
          <w:iCs w:val="0"/>
          <w:caps w:val="0"/>
          <w:color w:val="333333"/>
          <w:spacing w:val="0"/>
          <w:sz w:val="24"/>
          <w:szCs w:val="24"/>
          <w:bdr w:val="none" w:color="auto" w:sz="0" w:space="0"/>
          <w:shd w:val="clear" w:fill="FFFFFF"/>
        </w:rPr>
        <w:t>。围绕央企开辟增长“第二曲线”、外资企业优化在华业务布局、重点民企增资扩产，加强靶向招商，引进一批区域性总部和功能性总部。完善中国特色现代企业制度，支持企业完善法人治理结构、规范股东行为、强化内部监督、健全风险防范机制，提高资源要素利用效率和经营管理水平。引导企业探索中国特色现代企业管理文化，弘扬企业家精神、主人翁精神，培养优秀企业家。</w:t>
      </w:r>
    </w:p>
    <w:p w14:paraId="25D66CE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056575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第七篇  以粤港澳大湾区建设牵引高水平开放，建设竞争力更强的综合性门户</w:t>
      </w:r>
    </w:p>
    <w:p w14:paraId="2ECE30A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rPr>
          <w:rFonts w:hint="eastAsia" w:ascii="宋体" w:hAnsi="宋体" w:eastAsia="宋体" w:cs="宋体"/>
          <w:i w:val="0"/>
          <w:iCs w:val="0"/>
          <w:caps w:val="0"/>
          <w:color w:val="333333"/>
          <w:spacing w:val="0"/>
          <w:sz w:val="24"/>
          <w:szCs w:val="24"/>
        </w:rPr>
      </w:pPr>
    </w:p>
    <w:p w14:paraId="2B8CDD0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以深化穗港澳全面合作为重点，积极主动提升对内对外开放水平，塑造开放型经济新优势，构建高水平对外开放新格局。</w:t>
      </w:r>
    </w:p>
    <w:p w14:paraId="1269CB6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CF05F1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第十九章  加强穗港澳全面合作</w:t>
      </w:r>
    </w:p>
    <w:p w14:paraId="757D19C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3D8B666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增强粤港澳大湾区核心引擎功能，强化南沙重大战略性平台引领示范，以实施“湾区通”工程</w:t>
      </w:r>
      <w:r>
        <w:rPr>
          <w:rFonts w:hint="eastAsia" w:ascii="宋体" w:hAnsi="宋体" w:eastAsia="宋体" w:cs="宋体"/>
          <w:i w:val="0"/>
          <w:iCs w:val="0"/>
          <w:caps w:val="0"/>
          <w:color w:val="333333"/>
          <w:spacing w:val="0"/>
          <w:sz w:val="15"/>
          <w:szCs w:val="15"/>
          <w:bdr w:val="none" w:color="auto" w:sz="0" w:space="0"/>
          <w:shd w:val="clear" w:fill="FFFFFF"/>
          <w:vertAlign w:val="superscript"/>
        </w:rPr>
        <w:t>102</w:t>
      </w:r>
      <w:r>
        <w:rPr>
          <w:rFonts w:hint="eastAsia" w:ascii="宋体" w:hAnsi="宋体" w:eastAsia="宋体" w:cs="宋体"/>
          <w:i w:val="0"/>
          <w:iCs w:val="0"/>
          <w:caps w:val="0"/>
          <w:color w:val="333333"/>
          <w:spacing w:val="0"/>
          <w:sz w:val="24"/>
          <w:szCs w:val="24"/>
          <w:bdr w:val="none" w:color="auto" w:sz="0" w:space="0"/>
          <w:shd w:val="clear" w:fill="FFFFFF"/>
        </w:rPr>
        <w:t>为牵引，深入推动规则机制“软联通”、基础设施“硬联通”、人文交流“心联通”，聚焦科技创新、产业协同、平台共建等领域强化合作，支持港澳更好融入和服务国家发展大局，携手共建富有活力和国际竞争力的一流湾区和世界级城市群。</w:t>
      </w:r>
    </w:p>
    <w:p w14:paraId="72A3ABD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6652E7A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推动南沙全面开发开放</w:t>
      </w:r>
    </w:p>
    <w:p w14:paraId="413360D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5ED02D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用好省南沙工委机制，推进《广州南沙深化面向世界的粤港澳全面合作总体方案》第二阶段目标任务攻坚取得更多标志性成果，集中推进南沙湾、庆盛枢纽和南沙枢纽3个先行启动区建设，打造立足湾区、协同港澳、面向世界的重大战略性平台。推动出台《广州南沙总体发展规划》。深化市场准入和监管体制改革，高标准建设国际先进技术应用推进中心（大湾区）、粤港澳大湾区应用场景创新中心等重大产业创新平台，加快汽车、船舶等产业数智化、绿色化转型，培育壮大生物医药、半导体与集成电路、低空经济、人工智能等新兴产业，谋划布局深海深空等未来产业，率先打造海陆空全空间无人体系。高水平办好大湾区科学论坛、中国经济论坛等重大活动并拓展长期合作。支持港澳深度参与南沙基础设施、产业园区等建设运营，加快环港科大（广州）创新区建设，谋划建设粤港合作区，强化跨境产业链建设，打造生命健康科技产业重点基地。推动南沙与横琴、前海、河套联动发展，在粤港澳重大合作平台建设管理、大湾区规则衔接机制对接、重大政策创新突破等方面加强互学互鉴、互促互进。系统推进“五港联动”</w:t>
      </w:r>
      <w:r>
        <w:rPr>
          <w:rFonts w:hint="eastAsia" w:ascii="宋体" w:hAnsi="宋体" w:eastAsia="宋体" w:cs="宋体"/>
          <w:i w:val="0"/>
          <w:iCs w:val="0"/>
          <w:caps w:val="0"/>
          <w:color w:val="333333"/>
          <w:spacing w:val="0"/>
          <w:sz w:val="15"/>
          <w:szCs w:val="15"/>
          <w:bdr w:val="none" w:color="auto" w:sz="0" w:space="0"/>
          <w:shd w:val="clear" w:fill="FFFFFF"/>
          <w:vertAlign w:val="superscript"/>
        </w:rPr>
        <w:t>103</w:t>
      </w:r>
      <w:r>
        <w:rPr>
          <w:rFonts w:hint="eastAsia" w:ascii="宋体" w:hAnsi="宋体" w:eastAsia="宋体" w:cs="宋体"/>
          <w:i w:val="0"/>
          <w:iCs w:val="0"/>
          <w:caps w:val="0"/>
          <w:color w:val="333333"/>
          <w:spacing w:val="0"/>
          <w:sz w:val="24"/>
          <w:szCs w:val="24"/>
          <w:bdr w:val="none" w:color="auto" w:sz="0" w:space="0"/>
          <w:shd w:val="clear" w:fill="FFFFFF"/>
        </w:rPr>
        <w:t>，建设大湾区国际航运、金融和科技创新功能的承载区。</w:t>
      </w:r>
    </w:p>
    <w:p w14:paraId="246B724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AEE6FC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深化穗港澳规则衔接机制对接</w:t>
      </w:r>
    </w:p>
    <w:p w14:paraId="4676E18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1A0B589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便利要素跨境流动。加密与港澳高铁、水上客运交通班次，推动落地赴港旅游签注“一签多行”，落实好“港车北上”“澳车北上”“粤车南下”政策。深入推进职称评价和职业资格认可，推动导游等重点领域港澳专业人士跨境便利执业。完善穗港、穗澳国际贸易“单一窗口”合作交流机制，深化口岸通关一体化改革，推广跨境安检前置、鲜活产品绿色通道等快捷通关模式，加强与港澳航空、港口货运合作，深化“湾区一港通”</w:t>
      </w:r>
      <w:r>
        <w:rPr>
          <w:rFonts w:hint="eastAsia" w:ascii="宋体" w:hAnsi="宋体" w:eastAsia="宋体" w:cs="宋体"/>
          <w:i w:val="0"/>
          <w:iCs w:val="0"/>
          <w:caps w:val="0"/>
          <w:color w:val="333333"/>
          <w:spacing w:val="0"/>
          <w:sz w:val="15"/>
          <w:szCs w:val="15"/>
          <w:bdr w:val="none" w:color="auto" w:sz="0" w:space="0"/>
          <w:shd w:val="clear" w:fill="FFFFFF"/>
          <w:vertAlign w:val="superscript"/>
        </w:rPr>
        <w:t>104</w:t>
      </w:r>
      <w:r>
        <w:rPr>
          <w:rFonts w:hint="eastAsia" w:ascii="宋体" w:hAnsi="宋体" w:eastAsia="宋体" w:cs="宋体"/>
          <w:i w:val="0"/>
          <w:iCs w:val="0"/>
          <w:caps w:val="0"/>
          <w:color w:val="333333"/>
          <w:spacing w:val="0"/>
          <w:sz w:val="24"/>
          <w:szCs w:val="24"/>
          <w:bdr w:val="none" w:color="auto" w:sz="0" w:space="0"/>
          <w:shd w:val="clear" w:fill="FFFFFF"/>
        </w:rPr>
        <w:t>，探索货物在广州完成安检、打板、收货后可直运港澳机场、港口发货，打造大湾区国际分拨集拼中心。推动重点实验室、重大科技基础设施、产业技术创新中心、数据中心等与港澳共建共享，促进科研物资跨境便捷流动。加快建设粤港澳大湾区（广州南沙）跨境资管中心。</w:t>
      </w:r>
    </w:p>
    <w:p w14:paraId="52E7623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促进民生融合发展。深入实施“五乐计划”</w:t>
      </w:r>
      <w:r>
        <w:rPr>
          <w:rFonts w:hint="eastAsia" w:ascii="宋体" w:hAnsi="宋体" w:eastAsia="宋体" w:cs="宋体"/>
          <w:i w:val="0"/>
          <w:iCs w:val="0"/>
          <w:caps w:val="0"/>
          <w:color w:val="333333"/>
          <w:spacing w:val="0"/>
          <w:sz w:val="15"/>
          <w:szCs w:val="15"/>
          <w:bdr w:val="none" w:color="auto" w:sz="0" w:space="0"/>
          <w:shd w:val="clear" w:fill="FFFFFF"/>
          <w:vertAlign w:val="superscript"/>
        </w:rPr>
        <w:t>105</w:t>
      </w:r>
      <w:r>
        <w:rPr>
          <w:rFonts w:hint="eastAsia" w:ascii="宋体" w:hAnsi="宋体" w:eastAsia="宋体" w:cs="宋体"/>
          <w:i w:val="0"/>
          <w:iCs w:val="0"/>
          <w:caps w:val="0"/>
          <w:color w:val="333333"/>
          <w:spacing w:val="0"/>
          <w:sz w:val="24"/>
          <w:szCs w:val="24"/>
          <w:bdr w:val="none" w:color="auto" w:sz="0" w:space="0"/>
          <w:shd w:val="clear" w:fill="FFFFFF"/>
        </w:rPr>
        <w:t>，持续推进港澳青年创新创业基地建设，支持港澳居民在穗就业创业。深化政务服务跨境通办，推动港澳居民回乡证、居住证在穗便利使用。推动“湾区标准”“湾区认证”扩面提质，深化实施“港澳药械通”</w:t>
      </w:r>
      <w:r>
        <w:rPr>
          <w:rFonts w:hint="eastAsia" w:ascii="宋体" w:hAnsi="宋体" w:eastAsia="宋体" w:cs="宋体"/>
          <w:i w:val="0"/>
          <w:iCs w:val="0"/>
          <w:caps w:val="0"/>
          <w:color w:val="333333"/>
          <w:spacing w:val="0"/>
          <w:sz w:val="15"/>
          <w:szCs w:val="15"/>
          <w:bdr w:val="none" w:color="auto" w:sz="0" w:space="0"/>
          <w:shd w:val="clear" w:fill="FFFFFF"/>
          <w:vertAlign w:val="superscript"/>
        </w:rPr>
        <w:t>106</w:t>
      </w:r>
      <w:r>
        <w:rPr>
          <w:rFonts w:hint="eastAsia" w:ascii="宋体" w:hAnsi="宋体" w:eastAsia="宋体" w:cs="宋体"/>
          <w:i w:val="0"/>
          <w:iCs w:val="0"/>
          <w:caps w:val="0"/>
          <w:color w:val="333333"/>
          <w:spacing w:val="0"/>
          <w:sz w:val="24"/>
          <w:szCs w:val="24"/>
          <w:bdr w:val="none" w:color="auto" w:sz="0" w:space="0"/>
          <w:shd w:val="clear" w:fill="FFFFFF"/>
        </w:rPr>
        <w:t>、“湾区社保通”</w:t>
      </w:r>
      <w:r>
        <w:rPr>
          <w:rFonts w:hint="eastAsia" w:ascii="宋体" w:hAnsi="宋体" w:eastAsia="宋体" w:cs="宋体"/>
          <w:i w:val="0"/>
          <w:iCs w:val="0"/>
          <w:caps w:val="0"/>
          <w:color w:val="333333"/>
          <w:spacing w:val="0"/>
          <w:sz w:val="15"/>
          <w:szCs w:val="15"/>
          <w:bdr w:val="none" w:color="auto" w:sz="0" w:space="0"/>
          <w:shd w:val="clear" w:fill="FFFFFF"/>
          <w:vertAlign w:val="superscript"/>
        </w:rPr>
        <w:t>107</w:t>
      </w:r>
      <w:r>
        <w:rPr>
          <w:rFonts w:hint="eastAsia" w:ascii="宋体" w:hAnsi="宋体" w:eastAsia="宋体" w:cs="宋体"/>
          <w:i w:val="0"/>
          <w:iCs w:val="0"/>
          <w:caps w:val="0"/>
          <w:color w:val="333333"/>
          <w:spacing w:val="0"/>
          <w:sz w:val="24"/>
          <w:szCs w:val="24"/>
          <w:bdr w:val="none" w:color="auto" w:sz="0" w:space="0"/>
          <w:shd w:val="clear" w:fill="FFFFFF"/>
        </w:rPr>
        <w:t>和香港“长者医疗券计划”</w:t>
      </w:r>
      <w:r>
        <w:rPr>
          <w:rFonts w:hint="eastAsia" w:ascii="宋体" w:hAnsi="宋体" w:eastAsia="宋体" w:cs="宋体"/>
          <w:i w:val="0"/>
          <w:iCs w:val="0"/>
          <w:caps w:val="0"/>
          <w:color w:val="333333"/>
          <w:spacing w:val="0"/>
          <w:sz w:val="15"/>
          <w:szCs w:val="15"/>
          <w:bdr w:val="none" w:color="auto" w:sz="0" w:space="0"/>
          <w:shd w:val="clear" w:fill="FFFFFF"/>
          <w:vertAlign w:val="superscript"/>
        </w:rPr>
        <w:t>108</w:t>
      </w:r>
      <w:r>
        <w:rPr>
          <w:rFonts w:hint="eastAsia" w:ascii="宋体" w:hAnsi="宋体" w:eastAsia="宋体" w:cs="宋体"/>
          <w:i w:val="0"/>
          <w:iCs w:val="0"/>
          <w:caps w:val="0"/>
          <w:color w:val="333333"/>
          <w:spacing w:val="0"/>
          <w:sz w:val="24"/>
          <w:szCs w:val="24"/>
          <w:bdr w:val="none" w:color="auto" w:sz="0" w:space="0"/>
          <w:shd w:val="clear" w:fill="FFFFFF"/>
        </w:rPr>
        <w:t>、“广东院舍照顾服务计划”</w:t>
      </w:r>
      <w:r>
        <w:rPr>
          <w:rFonts w:hint="eastAsia" w:ascii="宋体" w:hAnsi="宋体" w:eastAsia="宋体" w:cs="宋体"/>
          <w:i w:val="0"/>
          <w:iCs w:val="0"/>
          <w:caps w:val="0"/>
          <w:color w:val="333333"/>
          <w:spacing w:val="0"/>
          <w:sz w:val="15"/>
          <w:szCs w:val="15"/>
          <w:bdr w:val="none" w:color="auto" w:sz="0" w:space="0"/>
          <w:shd w:val="clear" w:fill="FFFFFF"/>
          <w:vertAlign w:val="superscript"/>
        </w:rPr>
        <w:t>109</w:t>
      </w:r>
      <w:r>
        <w:rPr>
          <w:rFonts w:hint="eastAsia" w:ascii="宋体" w:hAnsi="宋体" w:eastAsia="宋体" w:cs="宋体"/>
          <w:i w:val="0"/>
          <w:iCs w:val="0"/>
          <w:caps w:val="0"/>
          <w:color w:val="333333"/>
          <w:spacing w:val="0"/>
          <w:sz w:val="24"/>
          <w:szCs w:val="24"/>
          <w:bdr w:val="none" w:color="auto" w:sz="0" w:space="0"/>
          <w:shd w:val="clear" w:fill="FFFFFF"/>
        </w:rPr>
        <w:t>。加强穗港澳文化体育艺术、教育科技等人文领域交往交流，加强文化遗产保护利用，携手做强“粤文化”IP，推出一批“一程多站”旅游、研学项目。加强与港澳立法、执法、司法各环节全流程协作。</w:t>
      </w:r>
    </w:p>
    <w:p w14:paraId="016ACCA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929D76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第三节  打造特色平台和品牌项目</w:t>
      </w:r>
    </w:p>
    <w:p w14:paraId="0B26817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B87D55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搭建沟通交流平台。加强与港澳政府部门、商会协会沟通对接，建立健全穗港澳常态化合作工作机制。与香港谋划共建穗港新质生产力赋能中心，支持穗港科技和产业融合创新中心建设发展，用好穗港科创优势和产业资源，携手推进科技产业互促双强。发挥香港“超级联系人”和澳门“精准联系人”作用，携手港澳深化“并船出海”和全球招商，共同打造中国企业“走出去”和国外企业“引进来”的“双跳板”。推动天河中央商务区与香港中环中央商务区在高端专业服务业方面强化协同联动、双向赋能。常态化组织广州政商代表赴港澳研修交流。</w:t>
      </w:r>
    </w:p>
    <w:p w14:paraId="6016401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建设特色合作平台。推进穗港马产业深度合作，常态化举办国际标准赛马赛事，谋划打造穗港马产业深度合作区。深化番禺粤港澳大湾区宜居宜业宜游优质生活圈建设，聚焦民生共建共享探索实施一批创新政策举措，推动上升为国家级平台。谋划建设大湾区中央创新区，深化教育科技人才一体化发展。提升穗港智造合作区、穗港科技合作园、穗澳创新园等特色合作平台能级。积极支持和参与香港北部都会区、澳门科技研发产业园开发建设，在基础设施建设、产业导入等方面贡献广州力量。</w:t>
      </w:r>
    </w:p>
    <w:p w14:paraId="1C6E564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谋划重点品牌项目。加快筹建大湾区国际商业银行，深化广州期货交易所与香港证券交易所业务产品合作，联合澳门建设面向葡语系国家的粤港澳大湾区农产品交易中心。加快游艇全产业链发展，推动落地粤港澳游艇自由行政策，规划建设一批游艇码头设施，大力发展集航海旅游、文娱赛事、建造维修、交易租赁等于一体的游艇经济。深化“穗港汽车出口快线”合作。探索开通大湾区跨境、跨城低空物流和低空客运航线。加快香港科技大学（广州）二期建设，推动以合资或独资形式引进更多港澳知名高校、医院，推动与港澳课程衔接、学分互认和诊疗资料互通认可。</w:t>
      </w:r>
    </w:p>
    <w:p w14:paraId="13E7502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3CDF6A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第四节  主动对接国家区域重大战略</w:t>
      </w:r>
    </w:p>
    <w:p w14:paraId="15281D8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36A90B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深化与海南自由贸易港协同合作，推进与海南飞地经济合作和产业链共建，加强与海口战略合作，充分用好海南“零关税”及加工增值免关税政策，构建“广州产业+海南政策+全球市场”深度合作模式。加强与京津冀协同发展、长三角一体化发展战略对接联动，聚焦体制机制创新、创新资源共建共享、产业链协同分工、基础设施与公共服务互联互通等方面深化交流合作。积极对接‌长江经济带发展、‌黄河流域生态保护和高质量发展等战略，在科技产业协作、绿色发展、区域协同发展等方面加强交流合作。</w:t>
      </w:r>
    </w:p>
    <w:p w14:paraId="229B243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8BE7AD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第二十章  完善高水平对外开放体制机制</w:t>
      </w:r>
    </w:p>
    <w:p w14:paraId="4669C16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A6E62B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坚持以开放促改革促发展，深化高水平制度型开放，推动开放平台制度创新、业态创新，不断壮大对外开放新动能、拓展开放型经济发展新优势。</w:t>
      </w:r>
    </w:p>
    <w:p w14:paraId="377D026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7FF789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稳步扩大制度型开放</w:t>
      </w:r>
    </w:p>
    <w:p w14:paraId="19F08F6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46DAAD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深化货物贸易、服务贸易、商务人员临时入境、交通运输、数据跨境流动等领域制度创新，加快构建与国际高标准经贸规则相衔接的制度体系和监管模式。深入实施自由贸易试验区提升战略，推动自贸试验区扩围提质，加大政策复制推广力度，更大力度开展首创性、集成式探索，争取开展生物医药、人工智能、低空经济等领域产业链开放创新试点。促进人工智能与数字经济试验片区、中新广州知识城片区、空港片区、南沙科学城片区等联动发展区在贸易便利化、知识产权保护等方面开展实践探索，打造特色创新案例。深化国家服务业扩大开放综合试点，推动电信、医疗康养、金融、商贸文旅等新开放领域项目落地，围绕促进数字产业开放发展、深化金融领域国际合作、提升“两业融合”国际竞争力等重点任务开展差异化探索。谋划建设高能级对外开放平台，有效联动白云空港、南沙海港，以“双港”整体谋划打造链接东盟、面向世界的“南方枢纽”。</w:t>
      </w:r>
    </w:p>
    <w:p w14:paraId="04732F8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7F9FCE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推动开发区高质量发展</w:t>
      </w:r>
    </w:p>
    <w:p w14:paraId="27BCCBF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D5B9BB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优化开发区形态布局，推动经济技术开发区、高新技术产业开发区、产业园区等各类开发区整合，加强各园区之间、园区与行政区之间协同联动发展，强化开发区吸引外资外智主阵地作用。因时因势调整完善开发区管理模式和运行机制，鼓励花都等经开区探索“管委会+公司”等管理模式，健全联合招商、政策共享、企业跨区域服务等机制，推行“一区多园”“园中园”等灵活多样的开发区组织形式，引导专业经营主体参与园区运营管理。支持符合条件的省级经开区升级为国家级经开区。推动南沙、白云机场、黄埔、知识城等综合保税区功能多样化、产业高端化、贸易便利化、管理协同化转型升级，因地制宜打造制造中心、研发设计中心、物流分拨中心、检测维修中心、销售服务中心，建设燃料油、大豆、有色金属等保税交割仓。推进综合保税区监管创新，推动跨境电商特殊区域出口集拼扩容提质。</w:t>
      </w:r>
    </w:p>
    <w:p w14:paraId="4555005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7DF55E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第三节  统筹高质量“引进来”与高水平“走出去”</w:t>
      </w:r>
    </w:p>
    <w:p w14:paraId="24FEE67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EBC2AE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打响“投资广州”品牌。创新外商投资促进体制机制，更大力度吸引和利用外资。完善外商投资合法权益保护制度，保障外资企业在要素获取、资质许可、经营运行、知识产权保护、标准制定、招标投标、政府采购等方面享受国民待遇，落实好“准入又准营”</w:t>
      </w:r>
      <w:r>
        <w:rPr>
          <w:rFonts w:hint="eastAsia" w:ascii="宋体" w:hAnsi="宋体" w:eastAsia="宋体" w:cs="宋体"/>
          <w:i w:val="0"/>
          <w:iCs w:val="0"/>
          <w:caps w:val="0"/>
          <w:color w:val="333333"/>
          <w:spacing w:val="0"/>
          <w:sz w:val="15"/>
          <w:szCs w:val="15"/>
          <w:bdr w:val="none" w:color="auto" w:sz="0" w:space="0"/>
          <w:shd w:val="clear" w:fill="FFFFFF"/>
          <w:vertAlign w:val="superscript"/>
        </w:rPr>
        <w:t>110</w:t>
      </w:r>
      <w:r>
        <w:rPr>
          <w:rFonts w:hint="eastAsia" w:ascii="宋体" w:hAnsi="宋体" w:eastAsia="宋体" w:cs="宋体"/>
          <w:i w:val="0"/>
          <w:iCs w:val="0"/>
          <w:caps w:val="0"/>
          <w:color w:val="333333"/>
          <w:spacing w:val="0"/>
          <w:sz w:val="24"/>
          <w:szCs w:val="24"/>
          <w:bdr w:val="none" w:color="auto" w:sz="0" w:space="0"/>
          <w:shd w:val="clear" w:fill="FFFFFF"/>
        </w:rPr>
        <w:t>，营造透明稳定可预期的制度环境。加大重点领域引资力度，引导外资更多投向先进制造、高新技术、节能环保等领域。大力开展链主招商，鼓励创新型企业引入境外战略投资者，支持在穗跨国公司提升地区总部能级、参与重点产业链配套协作，支持外资设立功能型和区域型总部，更加注重引进跨国公司研发中心、创新中心、采购中心等功能性机构。落实外资企业境内再投资鼓励政策，支持在穗外资企业利润再投资，促进外资企业扎根广州。加强广州投资环境宣传推介，办好广州国际投资年会等重大招商活动。</w:t>
      </w:r>
    </w:p>
    <w:p w14:paraId="18B47D0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推动企业“扬帆出海”。完善海外综合服务体系，鼓励企业开展产业链供应链国际合作。推动智能网联与新能源汽车、轨道交通、纺织服装等优势行业在“一带一路”沿线国家和地区加大布局。争取中新广州知识城上升为中新两国政府间合作项目，积极参与中国沙特（吉赞）等境外合作产业园区建设。全面增强中国企业“走出去”综合服务基地运营水平，建设实体化、功能型专业服务集聚区，为企业出海提供个性化、一站式综合服务，打造粤港澳大湾区乃至全国企业拓展海外市场的“一站式”综合服务平台。</w:t>
      </w:r>
    </w:p>
    <w:p w14:paraId="7B38D71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4B356F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第二十一章  提升国际交往中心城市功能</w:t>
      </w:r>
    </w:p>
    <w:p w14:paraId="22A540E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F5B591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全方位深化对外交流合作，系统性优化国际交往环境，持续提升国际交往中心城市功能，更好发挥“一带一路”重要枢纽城市作用，在服务国家总体外交大局、推动构建人类命运共同体中展现广州担当、贡献广州力量。</w:t>
      </w:r>
    </w:p>
    <w:p w14:paraId="1B19BBD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1333330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打造高水平国际交往交流平台</w:t>
      </w:r>
    </w:p>
    <w:p w14:paraId="7603E5D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p>
    <w:p w14:paraId="007C2A4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健全重大外交外事活动保障机制，加强市场化、专业化、国际化服务保障团队建设，高质量完成中央和省下达的对外工作任务，积极争取承办重大外交外事活动。优化完善重大涉外活动场所布局，提升白云国际会议中心、松园宾馆等周边环境，打造服务国际交往的城市会客厅，积极拓展承载国际交往的新空间。整合从都国际论坛、国家版本馆广州分馆等资源，高水平打造国际交往平台。支持广州之窗国际会客厅建设，吸引国际机构入驻，打造城市国际交往新名片。持续提升“读懂中国”国际会议（广州）、全球市长论坛等国际会议影响力。</w:t>
      </w:r>
    </w:p>
    <w:p w14:paraId="2A87561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D3BE0C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拓展多层次国际交流交往网络</w:t>
      </w:r>
    </w:p>
    <w:p w14:paraId="427BFE5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7F138C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深化国际友城“百城+”行动，拓展国际友好港口、友好城区、友城大学联盟、友城高职联盟等友好关系，打造更富活力的全球城市伙伴关系网络。完善与驻穗领团沟通联系机制，开展“领团读懂广州”系列活动，深化广州与各总领事馆派遣国的友好交往和互利合作。完善“外事+港澳”协同机制，携手港澳扩大对外交往“朋友圈”。出台国际组织及机构落户便利化措施，培育一批国际科技组织，谋划建设国际科技组织集聚区。落实“5年5万”倡议</w:t>
      </w:r>
      <w:r>
        <w:rPr>
          <w:rFonts w:hint="eastAsia" w:ascii="宋体" w:hAnsi="宋体" w:eastAsia="宋体" w:cs="宋体"/>
          <w:i w:val="0"/>
          <w:iCs w:val="0"/>
          <w:caps w:val="0"/>
          <w:color w:val="333333"/>
          <w:spacing w:val="0"/>
          <w:sz w:val="15"/>
          <w:szCs w:val="15"/>
          <w:bdr w:val="none" w:color="auto" w:sz="0" w:space="0"/>
          <w:shd w:val="clear" w:fill="FFFFFF"/>
          <w:vertAlign w:val="superscript"/>
        </w:rPr>
        <w:t>111</w:t>
      </w:r>
      <w:r>
        <w:rPr>
          <w:rFonts w:hint="eastAsia" w:ascii="宋体" w:hAnsi="宋体" w:eastAsia="宋体" w:cs="宋体"/>
          <w:i w:val="0"/>
          <w:iCs w:val="0"/>
          <w:caps w:val="0"/>
          <w:color w:val="333333"/>
          <w:spacing w:val="0"/>
          <w:sz w:val="24"/>
          <w:szCs w:val="24"/>
          <w:bdr w:val="none" w:color="auto" w:sz="0" w:space="0"/>
          <w:shd w:val="clear" w:fill="FFFFFF"/>
        </w:rPr>
        <w:t>，实施“全球青年看广州”系列行动</w:t>
      </w:r>
      <w:r>
        <w:rPr>
          <w:rFonts w:hint="eastAsia" w:ascii="宋体" w:hAnsi="宋体" w:eastAsia="宋体" w:cs="宋体"/>
          <w:i w:val="0"/>
          <w:iCs w:val="0"/>
          <w:caps w:val="0"/>
          <w:color w:val="333333"/>
          <w:spacing w:val="0"/>
          <w:sz w:val="15"/>
          <w:szCs w:val="15"/>
          <w:bdr w:val="none" w:color="auto" w:sz="0" w:space="0"/>
          <w:shd w:val="clear" w:fill="FFFFFF"/>
          <w:vertAlign w:val="superscript"/>
        </w:rPr>
        <w:t>112</w:t>
      </w:r>
      <w:r>
        <w:rPr>
          <w:rFonts w:hint="eastAsia" w:ascii="宋体" w:hAnsi="宋体" w:eastAsia="宋体" w:cs="宋体"/>
          <w:i w:val="0"/>
          <w:iCs w:val="0"/>
          <w:caps w:val="0"/>
          <w:color w:val="333333"/>
          <w:spacing w:val="0"/>
          <w:sz w:val="24"/>
          <w:szCs w:val="24"/>
          <w:bdr w:val="none" w:color="auto" w:sz="0" w:space="0"/>
          <w:shd w:val="clear" w:fill="FFFFFF"/>
        </w:rPr>
        <w:t>，开展国际青少年夏（冬）令营、国际青少年交流周、校际交流、港澳青年实习计划及研学活动等专项活动，吸引世界各国及港澳青年关注广州、集聚广州。深化与“一带一路”共建国家文旅、科教、人才等领域交流，积极参与共建“一带一路”联合实验室，争取司法部“一带一路”法律服务中心在穗落地。</w:t>
      </w:r>
    </w:p>
    <w:p w14:paraId="32DD89F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1402A8F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第三节  加强城市国际化环境建设</w:t>
      </w:r>
    </w:p>
    <w:p w14:paraId="37FD532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CF7B07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优化外国人来华工作许可、人才签证、人才认证、支付服务等政策措施，拓展外国人永久居留证应用领域。搭建集成式入境游服务综合平台，推出一卡通等便利举措，打通支付、交通、通信等堵点。提升公共场所外语标识覆盖面和规范化水平，建设广州多语种公共服务智能平台。优化机场、口岸等重点场所外国人综合服务中心建设布局。分类推进创新创业活力型、商旅文体融合型、人居环境友好型国际化街区建设。打造一批国际学校、国际医院、国际人才社区，促进在穗外国人更好融入广州。</w:t>
      </w:r>
    </w:p>
    <w:p w14:paraId="6473D24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BBA644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第八篇  统筹市内协同与市外联动，建成城乡区域协调发展样板</w:t>
      </w:r>
    </w:p>
    <w:p w14:paraId="7831A2B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rPr>
          <w:rFonts w:hint="eastAsia" w:ascii="宋体" w:hAnsi="宋体" w:eastAsia="宋体" w:cs="宋体"/>
          <w:i w:val="0"/>
          <w:iCs w:val="0"/>
          <w:caps w:val="0"/>
          <w:color w:val="333333"/>
          <w:spacing w:val="0"/>
          <w:sz w:val="24"/>
          <w:szCs w:val="24"/>
        </w:rPr>
      </w:pPr>
    </w:p>
    <w:p w14:paraId="1AB0338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深化学习运用“千万工程”经验</w:t>
      </w:r>
      <w:r>
        <w:rPr>
          <w:rFonts w:hint="eastAsia" w:ascii="宋体" w:hAnsi="宋体" w:eastAsia="宋体" w:cs="宋体"/>
          <w:i w:val="0"/>
          <w:iCs w:val="0"/>
          <w:caps w:val="0"/>
          <w:color w:val="333333"/>
          <w:spacing w:val="0"/>
          <w:sz w:val="15"/>
          <w:szCs w:val="15"/>
          <w:bdr w:val="none" w:color="auto" w:sz="0" w:space="0"/>
          <w:shd w:val="clear" w:fill="FFFFFF"/>
          <w:vertAlign w:val="superscript"/>
        </w:rPr>
        <w:t>113</w:t>
      </w:r>
      <w:r>
        <w:rPr>
          <w:rFonts w:hint="eastAsia" w:ascii="宋体" w:hAnsi="宋体" w:eastAsia="宋体" w:cs="宋体"/>
          <w:i w:val="0"/>
          <w:iCs w:val="0"/>
          <w:caps w:val="0"/>
          <w:color w:val="333333"/>
          <w:spacing w:val="0"/>
          <w:sz w:val="24"/>
          <w:szCs w:val="24"/>
          <w:bdr w:val="none" w:color="auto" w:sz="0" w:space="0"/>
          <w:shd w:val="clear" w:fill="FFFFFF"/>
        </w:rPr>
        <w:t>，完善区域协调发展、城乡融合发展体制机制，统筹推进新型工业化、新型城镇化和乡村全面振兴，一体推进兴业、强区、富民，不断开创城乡融合发展和区域协调发展新局面。</w:t>
      </w:r>
    </w:p>
    <w:p w14:paraId="57CDE08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F54CF9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第二十二章  构建多中心、组团式、网络化城市空间布局</w:t>
      </w:r>
    </w:p>
    <w:p w14:paraId="2818DF1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12353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推动向海图强、向空而兴、老城疏解、新区发力，促进中心城区与外围城区协同发展，打造若干特色明显、优势互补的发展板块，更好服务构筑“三脉”“三轴”“三核”战略空间新图景。</w:t>
      </w:r>
    </w:p>
    <w:p w14:paraId="6421D34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97CEDC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做实做优“一带一轴、三核四极”</w:t>
      </w:r>
      <w:r>
        <w:rPr>
          <w:rFonts w:hint="eastAsia" w:ascii="宋体" w:hAnsi="宋体" w:eastAsia="宋体" w:cs="宋体"/>
          <w:i w:val="0"/>
          <w:iCs w:val="0"/>
          <w:caps w:val="0"/>
          <w:color w:val="333333"/>
          <w:spacing w:val="0"/>
          <w:sz w:val="15"/>
          <w:szCs w:val="15"/>
          <w:bdr w:val="none" w:color="auto" w:sz="0" w:space="0"/>
          <w:shd w:val="clear" w:fill="FFFFFF"/>
          <w:vertAlign w:val="superscript"/>
        </w:rPr>
        <w:t>114</w:t>
      </w:r>
      <w:r>
        <w:rPr>
          <w:rFonts w:hint="eastAsia" w:ascii="宋体" w:hAnsi="宋体" w:eastAsia="宋体" w:cs="宋体"/>
          <w:i w:val="0"/>
          <w:iCs w:val="0"/>
          <w:caps w:val="0"/>
          <w:color w:val="333333"/>
          <w:spacing w:val="0"/>
          <w:sz w:val="24"/>
          <w:szCs w:val="24"/>
          <w:bdr w:val="none" w:color="auto" w:sz="0" w:space="0"/>
          <w:shd w:val="clear" w:fill="FFFFFF"/>
        </w:rPr>
        <w:t>城市空间结构</w:t>
      </w:r>
    </w:p>
    <w:p w14:paraId="50776C3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rPr>
          <w:rFonts w:hint="eastAsia" w:ascii="宋体" w:hAnsi="宋体" w:eastAsia="宋体" w:cs="宋体"/>
          <w:i w:val="0"/>
          <w:iCs w:val="0"/>
          <w:caps w:val="0"/>
          <w:color w:val="333333"/>
          <w:spacing w:val="0"/>
          <w:sz w:val="24"/>
          <w:szCs w:val="24"/>
        </w:rPr>
      </w:pPr>
    </w:p>
    <w:p w14:paraId="5F14B6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全力打造世界级珠江高质量发展带，加强珠江两岸整体布局，推动珠江新城、广州国际金融城、琶洲共建高价值产业高地，加快建设后航道服务型制造创新带，活化利用海珠广场、长堤周边地区等文化空间，联动沙面、白鹅潭打造“广州西部会客厅”，建设珠江西航道十公里“黄金岸线”，促进珠江沿岸全线贯通、功能整合、品质提升，实现串珠成链、一体发展。加快建设产业科技互促双强的活力创新轴，推进北段建设高水平产业园区、中段打造“学研创服”创新生态社区、南段优化枢纽与科研设施，完善内外联通的轨道和高快速路网，推动一批创新集聚区建设，贯通“创新策源—孵化转化—产业应用”完整链条，形成支撑广州创新城市建设的主阵地。以“绣花”功夫提升中心城区环境品质，引导非核心功能疏解和产业焕新。推进广州东部中心、南沙新区等重大平台成形起势，加快国家知识中心城、北部增长极、狮子洋增长极、从化绿色发展示范区规划建设，实现区域联动和全域繁荣。</w:t>
      </w:r>
    </w:p>
    <w:p w14:paraId="7D36576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FE92D0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打造特色明显、优势互补发展板块</w:t>
      </w:r>
    </w:p>
    <w:p w14:paraId="107859A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p>
    <w:p w14:paraId="12A9155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增强东部产创融合功能。加速建设广州东部中心形成挺起产业脊梁的创智之城，聚力推动海丝城、东江城核心区建设，加快科学城片区、南香山片区、荔湖新城三大产业片区连片发展，加强重大产业项目和优质公共服务导入，提升产城融合水平，打造高质量发展动力源。以广州东部中心为引领，串联高埔创智谷、中新广州知识城、广州科学城、广州国际生物岛、天河智慧城、广州国际金融城、黄花岗科技园等重大平台打造东部增长带。促进现代服务业、先进制造业、科技创新等资源融合发展，构建“总部研发+制造转化+服务支撑”产业链条。做大做强智能网联与新能源汽车、半导体与集成电路、超高清视频与新型显示、生物医药与健康、智能装备与机器人、软件与互联网、人工智能、低空经济与航空航天、绿色石化与新材料、新能源与新型储能等重点产业链。支持中新广州知识城探索建设“三生融合”的田园生态中央商务区。加强与深圳、东莞、惠州等周边城市协同发展。</w:t>
      </w:r>
    </w:p>
    <w:p w14:paraId="1B9472C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提升中北部枢纽经济功能。依托北部增长极建设全球枢纽门户，深化空铁一体化建设，加快建设跨境电商国际枢纽港、空港博览中心、国际时尚智港等项目，打造港产城一体的航空都会门户。以北部增长极为引领，串联花都国家级经开区、广州国际港枢纽片区、广州民营科技园、白云湖数字科技城等重大平台打造中北部增长带。发挥白云国际机场、广州火车站、广州白云站、广州北站、广州国际港等枢纽集聚优势，深入推进港产城融合发展，大力发展枢纽经济，促进流量转化，打造服务全国、链接全球的国际枢纽门户。做大做强智能装备与机器人、轨道交通、时尚消费品、低空经济与航空航天、新能源与新型储能、生物医药与健康等重点产业链。加强与清远等城市合作，强化与广清空港物流新城交通衔接，打造大湾区北向空铁物流辐射通道。</w:t>
      </w:r>
    </w:p>
    <w:p w14:paraId="75F41E0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强化西南部开放合作功能。坚持“精明增长、精致城区、岭南特色、田园风格、中国气派”理念，高标准推进南沙湾、庆盛枢纽、南沙枢纽、万顷沙南部等重点片区建设，深化未来城市综合实证试点，提升城市景观和建筑形态设计水平，强化高端产业、科技创新资源引入和优质公共服务配套，将南沙打造成为中国式现代化样板区。以南沙为引领，串联广州人工智能与数字经济试验区（琶洲核心区）、番禺汽车城、广州南站商务区、广州荔湾产业园区等重大平台打造西南部增长带。发挥国家级自贸试验区、国家级开发区政策集成优势，稳步扩大制度型开放，做大做强智能网联与新能源汽车、人工智能、低空经济与航空航天、船舶与海洋工程、时尚消费品等重点产业链群。加强与佛山等周边城市协同发展，强化广佛产业融合联动，打造西部高质量发展带。</w:t>
      </w:r>
    </w:p>
    <w:p w14:paraId="7D979F3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C9840D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第二十三章  深入实施“百县千镇万村高质量发展工程”</w:t>
      </w:r>
    </w:p>
    <w:p w14:paraId="766FCF5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61E32E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推进乡村全面振兴，促进城乡资源双向流动，建设都市现代农业强市和充满活力的超大城市宜居宜业和美乡村，实现城乡共同繁荣。</w:t>
      </w:r>
    </w:p>
    <w:p w14:paraId="2737278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20354B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推动强区促镇带村高质量发展</w:t>
      </w:r>
    </w:p>
    <w:p w14:paraId="070D7EF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33867D2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完善城乡融合发展体制机制。推广国家城乡融合发展试验区广清接合片区改革探索经验，打造城乡融合发展样板。深化农村“三块地”改革，稳步推进第二轮土地承包到期后再延长30年试点。深化农村集体经营性建设用地入市改革，加强农村宅基地管理。增强农村产权抵押担保权能，完善农业信贷担保体系。深化农村集体产权制度改革，推进天河、白云等农村集体产权制度改革省级试点，健全交易体系和监管机制，盘活用好集体闲置资源资产。深入实施新一轮“穗农奔富”行动</w:t>
      </w:r>
      <w:r>
        <w:rPr>
          <w:rFonts w:hint="eastAsia" w:ascii="宋体" w:hAnsi="宋体" w:eastAsia="宋体" w:cs="宋体"/>
          <w:i w:val="0"/>
          <w:iCs w:val="0"/>
          <w:caps w:val="0"/>
          <w:color w:val="333333"/>
          <w:spacing w:val="0"/>
          <w:sz w:val="15"/>
          <w:szCs w:val="15"/>
          <w:bdr w:val="none" w:color="auto" w:sz="0" w:space="0"/>
          <w:shd w:val="clear" w:fill="FFFFFF"/>
          <w:vertAlign w:val="superscript"/>
        </w:rPr>
        <w:t>115</w:t>
      </w:r>
      <w:r>
        <w:rPr>
          <w:rFonts w:hint="eastAsia" w:ascii="宋体" w:hAnsi="宋体" w:eastAsia="宋体" w:cs="宋体"/>
          <w:i w:val="0"/>
          <w:iCs w:val="0"/>
          <w:caps w:val="0"/>
          <w:color w:val="333333"/>
          <w:spacing w:val="0"/>
          <w:sz w:val="24"/>
          <w:szCs w:val="24"/>
          <w:bdr w:val="none" w:color="auto" w:sz="0" w:space="0"/>
          <w:shd w:val="clear" w:fill="FFFFFF"/>
        </w:rPr>
        <w:t>，完善联农带农利益联结机制。</w:t>
      </w:r>
    </w:p>
    <w:p w14:paraId="5BAFCFD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强化镇联城带村节点功能。强化镇级空间资源统筹和资源要素配置，提升镇的综合服务功能、承载能力和整体风貌，坚持产业兴镇、特色强镇，分类施策壮大镇域经济。做大做强中心镇、做专做精专业镇、做优做美特色镇，打造镇—村连片发展示范群。因地制宜创建一批工业强镇、农业大镇、商贸重镇、文旅名镇，打造更多全国百强镇、千亿镇。推进石楼镇、大岗镇、花东镇、人和镇、新塘镇、太平镇按照小城市标准规划建设成为区域副中心，加速从城镇形态向城市形态转变。</w:t>
      </w:r>
    </w:p>
    <w:p w14:paraId="55003E7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分类推动重点区域加快发展。加快环南昆山—罗浮山县镇村高质量发展引领区（广州片区）建设，深化整县推进农文旅融合发展试点，建设一批国家级旅游景区、度假区、户外运动目的地和高品质森林康养基地。完善优质教育、医疗等公共服务和基础设施，提升最美旅游公路体系，谋划推动引领区轨道交通互联互通。推进流溪温泉等旅游度假区提档升级，建设森林温泉康养带，形成以森林温泉康养为龙头的高端产业集群，率先建成岭南特色鲜明、高端产业集聚、品牌享誉中外的世界级珍稀温泉康养胜地。以花都区梯面镇，从化区鳌头镇、温泉镇、良口镇、吕田镇，增城区派潭镇、正果镇、小楼镇等八镇为重点，深入推进广州北部山区高质量发展。</w:t>
      </w:r>
    </w:p>
    <w:p w14:paraId="669BFDA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564D3F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扎实推进乡村全面振兴</w:t>
      </w:r>
    </w:p>
    <w:p w14:paraId="5AC1FB7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56FEFA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建设都市现代农业强市。统筹发展科技农业、绿色农业、质量农业、品牌农业，把农业建成现代化大产业。提升农业综合生产能力和质量效益，保障粮食和重要农产品稳定安全供给。做强做大花卉、果蔬、渔业、丝苗米等特色产业集群，加快创建现代农业领域国家层面标志性重大应用场景，推进全产业链技术升级与模式创新，打造“十百千亿”现代农业产业集群。加快推进农业科技创新和成果转化应用，健全农业科技企业全生命周期服务机制，培育壮大农业科技领军企业。实施“穗字种业”振兴行动</w:t>
      </w:r>
      <w:r>
        <w:rPr>
          <w:rFonts w:hint="eastAsia" w:ascii="宋体" w:hAnsi="宋体" w:eastAsia="宋体" w:cs="宋体"/>
          <w:i w:val="0"/>
          <w:iCs w:val="0"/>
          <w:caps w:val="0"/>
          <w:color w:val="333333"/>
          <w:spacing w:val="0"/>
          <w:sz w:val="15"/>
          <w:szCs w:val="15"/>
          <w:bdr w:val="none" w:color="auto" w:sz="0" w:space="0"/>
          <w:shd w:val="clear" w:fill="FFFFFF"/>
          <w:vertAlign w:val="superscript"/>
        </w:rPr>
        <w:t>116</w:t>
      </w:r>
      <w:r>
        <w:rPr>
          <w:rFonts w:hint="eastAsia" w:ascii="宋体" w:hAnsi="宋体" w:eastAsia="宋体" w:cs="宋体"/>
          <w:i w:val="0"/>
          <w:iCs w:val="0"/>
          <w:caps w:val="0"/>
          <w:color w:val="333333"/>
          <w:spacing w:val="0"/>
          <w:sz w:val="24"/>
          <w:szCs w:val="24"/>
          <w:bdr w:val="none" w:color="auto" w:sz="0" w:space="0"/>
          <w:shd w:val="clear" w:fill="FFFFFF"/>
        </w:rPr>
        <w:t>，推动智慧农业、生物农业、健康农业等领域研发和应用，大力发展设施农业，支持伏羲农场、极飞超级农场等智慧农场建设。积极发展合成生物技术，拓展新型蛋白来源，构建多元化食物供给体系。大力推进农副产品精深加工，农产品加工业与农业总产值比达到6.3:1。深化广州（南沙）农业对外开放合作试验区建设，打造国际宠物社区、预制食品等基地和跨境贸易平台。升级一批区域性枢纽市场，增强集散辐射能力。擦亮“花城”名片，持续办好迎春花市等品牌活动，建设花卉线上交易平台，推动传统花卉市场转型升级，建设高端品种种植基地，打造国际一流花卉产业高地。争创国家农业现代化示范区。</w:t>
      </w:r>
    </w:p>
    <w:p w14:paraId="143DA7A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打造现代化岭南和美乡村。推动新形态乡村规划编制和历史文化名镇名村保护规划实施，合理安排村域空间。提升乡村规划与建设的设计水平，塑造各具特色的乡村风貌。谋划实施新一轮全域土地综合整治，盘活闲置低效用地，引导农民适度集中居住，为乡村产业发展和基础设施完善提供空间。坚持分类有序、片区化推进乡村振兴，推进典型村片区培育建设。因地制宜建设美丽乡村，提升乡村风貌和人居环境，提高农村基础设施管护水平。开展闲置农房盘活利用试点，探索通过出租、入股、合作等方式盘活利用农房的有效路径。深化“四好农村路”</w:t>
      </w:r>
      <w:r>
        <w:rPr>
          <w:rFonts w:hint="eastAsia" w:ascii="宋体" w:hAnsi="宋体" w:eastAsia="宋体" w:cs="宋体"/>
          <w:i w:val="0"/>
          <w:iCs w:val="0"/>
          <w:caps w:val="0"/>
          <w:color w:val="333333"/>
          <w:spacing w:val="0"/>
          <w:sz w:val="15"/>
          <w:szCs w:val="15"/>
          <w:bdr w:val="none" w:color="auto" w:sz="0" w:space="0"/>
          <w:shd w:val="clear" w:fill="FFFFFF"/>
          <w:vertAlign w:val="superscript"/>
        </w:rPr>
        <w:t>117</w:t>
      </w:r>
      <w:r>
        <w:rPr>
          <w:rFonts w:hint="eastAsia" w:ascii="宋体" w:hAnsi="宋体" w:eastAsia="宋体" w:cs="宋体"/>
          <w:i w:val="0"/>
          <w:iCs w:val="0"/>
          <w:caps w:val="0"/>
          <w:color w:val="333333"/>
          <w:spacing w:val="0"/>
          <w:sz w:val="24"/>
          <w:szCs w:val="24"/>
          <w:bdr w:val="none" w:color="auto" w:sz="0" w:space="0"/>
          <w:shd w:val="clear" w:fill="FFFFFF"/>
        </w:rPr>
        <w:t>、乡村风景道和美丽庭院建设，开展乡村绿化美化，串珠成链打造美丽乡村廊道。加强传统村落保护，建成一批具有岭南味、乡土气、时尚感、未来范的现代化新乡村群。深化抓党建促乡村振兴和农村“头雁”工程</w:t>
      </w:r>
      <w:r>
        <w:rPr>
          <w:rFonts w:hint="eastAsia" w:ascii="宋体" w:hAnsi="宋体" w:eastAsia="宋体" w:cs="宋体"/>
          <w:i w:val="0"/>
          <w:iCs w:val="0"/>
          <w:caps w:val="0"/>
          <w:color w:val="333333"/>
          <w:spacing w:val="0"/>
          <w:sz w:val="15"/>
          <w:szCs w:val="15"/>
          <w:bdr w:val="none" w:color="auto" w:sz="0" w:space="0"/>
          <w:shd w:val="clear" w:fill="FFFFFF"/>
          <w:vertAlign w:val="superscript"/>
        </w:rPr>
        <w:t>118</w:t>
      </w:r>
      <w:r>
        <w:rPr>
          <w:rFonts w:hint="eastAsia" w:ascii="宋体" w:hAnsi="宋体" w:eastAsia="宋体" w:cs="宋体"/>
          <w:i w:val="0"/>
          <w:iCs w:val="0"/>
          <w:caps w:val="0"/>
          <w:color w:val="333333"/>
          <w:spacing w:val="0"/>
          <w:sz w:val="24"/>
          <w:szCs w:val="24"/>
          <w:bdr w:val="none" w:color="auto" w:sz="0" w:space="0"/>
          <w:shd w:val="clear" w:fill="FFFFFF"/>
        </w:rPr>
        <w:t>，持续增强乡村治理效能。支持花都创建国家乡村振兴示范县。</w:t>
      </w:r>
    </w:p>
    <w:p w14:paraId="71C4111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培育现代化乡村人才。畅通城乡人才培养交流通道，健全乡村人才激励机制，完善农业农村人才职称评审和职业技能等级认定制度，引导教育、医疗等专业技术人才和乡村规划师、农村科技特派员</w:t>
      </w:r>
      <w:r>
        <w:rPr>
          <w:rFonts w:hint="eastAsia" w:ascii="宋体" w:hAnsi="宋体" w:eastAsia="宋体" w:cs="宋体"/>
          <w:i w:val="0"/>
          <w:iCs w:val="0"/>
          <w:caps w:val="0"/>
          <w:color w:val="333333"/>
          <w:spacing w:val="0"/>
          <w:sz w:val="15"/>
          <w:szCs w:val="15"/>
          <w:bdr w:val="none" w:color="auto" w:sz="0" w:space="0"/>
          <w:shd w:val="clear" w:fill="FFFFFF"/>
          <w:vertAlign w:val="superscript"/>
        </w:rPr>
        <w:t>119</w:t>
      </w:r>
      <w:r>
        <w:rPr>
          <w:rFonts w:hint="eastAsia" w:ascii="宋体" w:hAnsi="宋体" w:eastAsia="宋体" w:cs="宋体"/>
          <w:i w:val="0"/>
          <w:iCs w:val="0"/>
          <w:caps w:val="0"/>
          <w:color w:val="333333"/>
          <w:spacing w:val="0"/>
          <w:sz w:val="24"/>
          <w:szCs w:val="24"/>
          <w:bdr w:val="none" w:color="auto" w:sz="0" w:space="0"/>
          <w:shd w:val="clear" w:fill="FFFFFF"/>
        </w:rPr>
        <w:t>等各类技术人才向镇村基层流动，支持大学生、农民工等群体返乡创业就业。优化农村新型人才引育机制，培育乡村产业振兴带头人、乡村工匠、农村集体经济经理人等乡村生产经营人才。</w:t>
      </w:r>
    </w:p>
    <w:p w14:paraId="0D82563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6901195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第三节  深化对口支援合作和帮扶协作</w:t>
      </w:r>
    </w:p>
    <w:p w14:paraId="3DCAC7C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0EE873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巩固拓展东西部协作和对口支援成果。深化东西部协作，抓好特色产业提升、‌产业集群打造、‌消费帮扶助农增收、‌劳务协作提质，探索乡村振兴特色带建设、产业梯度转移等机制创新。扎实做好对口支援，在贵州黔南州、新疆疏附、西藏波密等地打造一批文旅农牧业项目，支持福建龙岩、黑龙江齐齐哈尔、重庆巫山共建产业园。拓展省内帮扶协作，推进驻镇帮镇扶村，建强广清经济特别合作区、广梅产业园、广湛产业园，支持梅州建设赣闽粤原中央苏区对接融入粤港澳大湾区振兴发展先行区，以产业合作为重点携手促消费、拓市场。在省内外帮扶协作地区实施“百园千企”行动</w:t>
      </w:r>
      <w:r>
        <w:rPr>
          <w:rFonts w:hint="eastAsia" w:ascii="宋体" w:hAnsi="宋体" w:eastAsia="宋体" w:cs="宋体"/>
          <w:i w:val="0"/>
          <w:iCs w:val="0"/>
          <w:caps w:val="0"/>
          <w:color w:val="333333"/>
          <w:spacing w:val="0"/>
          <w:sz w:val="15"/>
          <w:szCs w:val="15"/>
          <w:bdr w:val="none" w:color="auto" w:sz="0" w:space="0"/>
          <w:shd w:val="clear" w:fill="FFFFFF"/>
          <w:vertAlign w:val="superscript"/>
        </w:rPr>
        <w:t>120</w:t>
      </w:r>
      <w:r>
        <w:rPr>
          <w:rFonts w:hint="eastAsia" w:ascii="宋体" w:hAnsi="宋体" w:eastAsia="宋体" w:cs="宋体"/>
          <w:i w:val="0"/>
          <w:iCs w:val="0"/>
          <w:caps w:val="0"/>
          <w:color w:val="333333"/>
          <w:spacing w:val="0"/>
          <w:sz w:val="24"/>
          <w:szCs w:val="24"/>
          <w:bdr w:val="none" w:color="auto" w:sz="0" w:space="0"/>
          <w:shd w:val="clear" w:fill="FFFFFF"/>
        </w:rPr>
        <w:t>，创新“飞地经济”“双向赋能”等合作模式。</w:t>
      </w:r>
    </w:p>
    <w:p w14:paraId="65A21FD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优化市内新型帮扶协作机制。稳固提升结对互促、组团帮扶的新型帮扶协作机制，进一步密切机关事业单位、国企、高校、科研院所等与相关区、镇、村形成的“一团帮一镇”</w:t>
      </w:r>
      <w:r>
        <w:rPr>
          <w:rFonts w:hint="eastAsia" w:ascii="宋体" w:hAnsi="宋体" w:eastAsia="宋体" w:cs="宋体"/>
          <w:i w:val="0"/>
          <w:iCs w:val="0"/>
          <w:caps w:val="0"/>
          <w:color w:val="333333"/>
          <w:spacing w:val="0"/>
          <w:sz w:val="15"/>
          <w:szCs w:val="15"/>
          <w:bdr w:val="none" w:color="auto" w:sz="0" w:space="0"/>
          <w:shd w:val="clear" w:fill="FFFFFF"/>
          <w:vertAlign w:val="superscript"/>
        </w:rPr>
        <w:t>121</w:t>
      </w:r>
      <w:r>
        <w:rPr>
          <w:rFonts w:hint="eastAsia" w:ascii="宋体" w:hAnsi="宋体" w:eastAsia="宋体" w:cs="宋体"/>
          <w:i w:val="0"/>
          <w:iCs w:val="0"/>
          <w:caps w:val="0"/>
          <w:color w:val="333333"/>
          <w:spacing w:val="0"/>
          <w:sz w:val="24"/>
          <w:szCs w:val="24"/>
          <w:bdr w:val="none" w:color="auto" w:sz="0" w:space="0"/>
          <w:shd w:val="clear" w:fill="FFFFFF"/>
        </w:rPr>
        <w:t>“八区包八镇”</w:t>
      </w:r>
      <w:r>
        <w:rPr>
          <w:rFonts w:hint="eastAsia" w:ascii="宋体" w:hAnsi="宋体" w:eastAsia="宋体" w:cs="宋体"/>
          <w:i w:val="0"/>
          <w:iCs w:val="0"/>
          <w:caps w:val="0"/>
          <w:color w:val="333333"/>
          <w:spacing w:val="0"/>
          <w:sz w:val="15"/>
          <w:szCs w:val="15"/>
          <w:bdr w:val="none" w:color="auto" w:sz="0" w:space="0"/>
          <w:shd w:val="clear" w:fill="FFFFFF"/>
          <w:vertAlign w:val="superscript"/>
        </w:rPr>
        <w:t>122</w:t>
      </w:r>
      <w:r>
        <w:rPr>
          <w:rFonts w:hint="eastAsia" w:ascii="宋体" w:hAnsi="宋体" w:eastAsia="宋体" w:cs="宋体"/>
          <w:i w:val="0"/>
          <w:iCs w:val="0"/>
          <w:caps w:val="0"/>
          <w:color w:val="333333"/>
          <w:spacing w:val="0"/>
          <w:sz w:val="24"/>
          <w:szCs w:val="24"/>
          <w:bdr w:val="none" w:color="auto" w:sz="0" w:space="0"/>
          <w:shd w:val="clear" w:fill="FFFFFF"/>
        </w:rPr>
        <w:t>和“百街扶百村”</w:t>
      </w:r>
      <w:r>
        <w:rPr>
          <w:rFonts w:hint="eastAsia" w:ascii="宋体" w:hAnsi="宋体" w:eastAsia="宋体" w:cs="宋体"/>
          <w:i w:val="0"/>
          <w:iCs w:val="0"/>
          <w:caps w:val="0"/>
          <w:color w:val="333333"/>
          <w:spacing w:val="0"/>
          <w:sz w:val="15"/>
          <w:szCs w:val="15"/>
          <w:bdr w:val="none" w:color="auto" w:sz="0" w:space="0"/>
          <w:shd w:val="clear" w:fill="FFFFFF"/>
          <w:vertAlign w:val="superscript"/>
        </w:rPr>
        <w:t>123</w:t>
      </w:r>
      <w:r>
        <w:rPr>
          <w:rFonts w:hint="eastAsia" w:ascii="宋体" w:hAnsi="宋体" w:eastAsia="宋体" w:cs="宋体"/>
          <w:i w:val="0"/>
          <w:iCs w:val="0"/>
          <w:caps w:val="0"/>
          <w:color w:val="333333"/>
          <w:spacing w:val="0"/>
          <w:sz w:val="24"/>
          <w:szCs w:val="24"/>
          <w:bdr w:val="none" w:color="auto" w:sz="0" w:space="0"/>
          <w:shd w:val="clear" w:fill="FFFFFF"/>
        </w:rPr>
        <w:t>的结对帮扶关系，推动结对帮扶关系向村（社区）延伸。持续深化提升“千企帮千镇、万企兴万村”行动</w:t>
      </w:r>
      <w:r>
        <w:rPr>
          <w:rFonts w:hint="eastAsia" w:ascii="宋体" w:hAnsi="宋体" w:eastAsia="宋体" w:cs="宋体"/>
          <w:i w:val="0"/>
          <w:iCs w:val="0"/>
          <w:caps w:val="0"/>
          <w:color w:val="333333"/>
          <w:spacing w:val="0"/>
          <w:sz w:val="15"/>
          <w:szCs w:val="15"/>
          <w:bdr w:val="none" w:color="auto" w:sz="0" w:space="0"/>
          <w:shd w:val="clear" w:fill="FFFFFF"/>
          <w:vertAlign w:val="superscript"/>
        </w:rPr>
        <w:t>124</w:t>
      </w:r>
      <w:r>
        <w:rPr>
          <w:rFonts w:hint="eastAsia" w:ascii="宋体" w:hAnsi="宋体" w:eastAsia="宋体" w:cs="宋体"/>
          <w:i w:val="0"/>
          <w:iCs w:val="0"/>
          <w:caps w:val="0"/>
          <w:color w:val="333333"/>
          <w:spacing w:val="0"/>
          <w:sz w:val="24"/>
          <w:szCs w:val="24"/>
          <w:bdr w:val="none" w:color="auto" w:sz="0" w:space="0"/>
          <w:shd w:val="clear" w:fill="FFFFFF"/>
        </w:rPr>
        <w:t>，整合国有企业、民营企业等各类资源，加大镇（街）、村与企业结对帮扶力度，引导社会力量开展产业合作、资助建设等各类帮扶。</w:t>
      </w:r>
    </w:p>
    <w:p w14:paraId="5BE95E8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1F4EE06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第二十四章  引领带动城市群一体化发展</w:t>
      </w:r>
    </w:p>
    <w:p w14:paraId="5D5FE33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1207CCE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充分发挥广州国家中心城市和省会城市辐射带动作用，推进广州都市圈同城化发展，深化与深圳、珠江口西岸、湛茂及汕潮揭等都市圈协同联动，健全区域间规划统筹、产业协作、利益共享等发展机制，提升城市群一体化发展水平。</w:t>
      </w:r>
    </w:p>
    <w:p w14:paraId="70A8DE7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E11749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纵深推进广州都市圈同城化建设</w:t>
      </w:r>
    </w:p>
    <w:p w14:paraId="3AD55A7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2801B0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持续增强广州、佛山共同作为广州都市圈核心区的引领作用，加快探索与清远中心城区的同城化发展模式，加强与肇庆、云浮、韶关联动发展。完善优化都市圈合作机制，加快织密都市圈各中心城区1小时通达交通网络，推进都市圈在规划衔接、产业协同、科技创新、生态环境等重点领域的同城化建设，推动成立共同规划委员会，实现规划的共同编制、共同认定、共同实施，提升都市圈发展能级和核心竞争力。全面推进广佛全域同城化，构建产业协同发展矩阵，联合打造低空经济、跨区域无人驾驶等领域协同创新场景。推动基础设施、社会治理、要素市场化改革等领域深度合作，推进广佛接合片区组团式发展，谋划培育广州西部和佛山东侧高质量融合发展核。深挖岭南文化资源优势，共同打造服务大湾区、具有世界影响力的“广佛品牌”。深化广清高质量一体化，合力做强产业转移合作平台，打造广清共同富裕典型区、环王子山文旅康养目的地，探索广州北部与清远南部板块同城化合作。</w:t>
      </w:r>
    </w:p>
    <w:p w14:paraId="11DEEDD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633BFCB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强化与省内都市圈协同联动发展</w:t>
      </w:r>
    </w:p>
    <w:p w14:paraId="7722B2F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6F7542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发挥广州都市圈连接珠江口东西两岸区位优势，加力推动与深圳都市圈、珠江口西岸都市圈联动发展，共同建设环珠江口“黄金内湾”。深化广深“双城”联动、战略协同，持续推进在科技创新、营商环境、生物医药、智能装备、智能网联与新能源汽车等领域合作，共建具有全球影响力的大湾区“双子城”。强化穗莞合作，聚焦人工智能、新能源、低空经济等战略性新兴产业，推动广州东部中心与东莞水乡经济区加强战略合作。依托深中通道、南中高速等重大基础设施，共同加密珠江口东西两岸连接通道。加强南沙科学城与光明科学城、松山湖科学城联动，促进与珠江西岸先进装备制造产业、珠江东岸电子信息产业协同发展。推动与湛茂、汕潮揭都市圈联动发展，促进与粤东西北资源互补、双向赋能，积极服务沿海经济带建设，带动粤东西北地区入珠融湾。深化广州港与湛江港、汕头港合作，强化石化、钢铁、海洋等优势产业领域协同发展，共建海洋高技术成果高效转化基地和产业基地。持续推进广州、湛江“省会城市+省域副中心”深度协作，加强产业链合作，合力推动广湛产业转移合作园加快建设。</w:t>
      </w:r>
    </w:p>
    <w:p w14:paraId="595D8CF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61E6062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第九篇 深入推进超大城市现代化治理，塑造美丽宜居花城新形象</w:t>
      </w:r>
    </w:p>
    <w:p w14:paraId="017E52B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rPr>
          <w:rFonts w:hint="eastAsia" w:ascii="宋体" w:hAnsi="宋体" w:eastAsia="宋体" w:cs="宋体"/>
          <w:i w:val="0"/>
          <w:iCs w:val="0"/>
          <w:caps w:val="0"/>
          <w:color w:val="333333"/>
          <w:spacing w:val="0"/>
          <w:sz w:val="24"/>
          <w:szCs w:val="24"/>
        </w:rPr>
      </w:pPr>
    </w:p>
    <w:p w14:paraId="7FC6598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坚持人民城市理念，走内涵式发展道路，以实施城市更新行动为重要抓手，统筹推进宜居智慧韧性城市建设，不断提升超大城市现代化治理能力，努力打造国际化山水园林城市。</w:t>
      </w:r>
    </w:p>
    <w:p w14:paraId="02C961E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8F23FD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第二十五章  高质量开展城市更新</w:t>
      </w:r>
    </w:p>
    <w:p w14:paraId="7B25258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359FE04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大力实施城市更新行动，推动转变城市发展方式，通过盘活存量拓展新的发展空间，促进城市结构优化、功能完善、文脉赓续和品质提升。</w:t>
      </w:r>
    </w:p>
    <w:p w14:paraId="51577C0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388CB4C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积极稳步实施城中村改造</w:t>
      </w:r>
    </w:p>
    <w:p w14:paraId="7EF5030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970CDD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采取拆除新建、整治提升、拆整结合等多种方式，按照城市标准推进重点功能平台、重大基础设施片区的75个城中村分类改造。推动罗冲围片区与白鹅潭、海珠西历史文化街区的城中村连片改造，打造西部沿江高质量发展带。加快环五山创新策源区、海珠新中轴片区城中村改造，提升新中轴线城市客厅形象。推进广州火车站、广州白云站、白云机场等重大交通枢纽片区城中村改造，拓展枢纽经济承载空间。加强产业型城中村产业链分析，“一村一策”优化产业发展空间。合理规划一定规模低成本产业空间，保育传统优势产业；精准预留高成长性传统产业空间，引导低效产业向价值链高端转型升级。强化连片改造区域产业空间统筹谋划，腾挪释放连片产业用地。优化房票安置</w:t>
      </w:r>
      <w:r>
        <w:rPr>
          <w:rFonts w:hint="eastAsia" w:ascii="宋体" w:hAnsi="宋体" w:eastAsia="宋体" w:cs="宋体"/>
          <w:i w:val="0"/>
          <w:iCs w:val="0"/>
          <w:caps w:val="0"/>
          <w:color w:val="333333"/>
          <w:spacing w:val="0"/>
          <w:sz w:val="15"/>
          <w:szCs w:val="15"/>
          <w:bdr w:val="none" w:color="auto" w:sz="0" w:space="0"/>
          <w:shd w:val="clear" w:fill="FFFFFF"/>
          <w:vertAlign w:val="superscript"/>
        </w:rPr>
        <w:t>125</w:t>
      </w:r>
      <w:r>
        <w:rPr>
          <w:rFonts w:hint="eastAsia" w:ascii="宋体" w:hAnsi="宋体" w:eastAsia="宋体" w:cs="宋体"/>
          <w:i w:val="0"/>
          <w:iCs w:val="0"/>
          <w:caps w:val="0"/>
          <w:color w:val="333333"/>
          <w:spacing w:val="0"/>
          <w:sz w:val="24"/>
          <w:szCs w:val="24"/>
          <w:bdr w:val="none" w:color="auto" w:sz="0" w:space="0"/>
          <w:shd w:val="clear" w:fill="FFFFFF"/>
        </w:rPr>
        <w:t>使用范围，鼓励使用房票批量购置商品房用作安置房。</w:t>
      </w:r>
    </w:p>
    <w:p w14:paraId="3FF835F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1CF084E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营造高品质生活空间</w:t>
      </w:r>
    </w:p>
    <w:p w14:paraId="6E84EE9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12D279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加强老旧住宅安全监测，完善“一楼一档”住房动态监测信息平台，建立危旧住宅改造项目库。推动国有企事业单位非成套住房升级改造。加快危旧房改造试点项目建设，完善危旧住宅自主更新模式。加强片区统筹规划，强化规划底线管控和刚性约束，优化“原拆原建”改造模式。鼓励合理整合低效住宅建筑使用功能，因地制宜植入多样化公共空间。有序推进老旧住宅加装电梯，改造提升水电气管网和消防设施。全面推动2000年前建成的老旧小区改造，聚焦“一老一小”完善适老化、适儿化公共服务设施，优化提升人居环境。鼓励设置一站式综合服务中心，搭建社区智慧服务平台，引导居民与业委会等深度参与改造和管养决策，完善长效管养机制。推进嵌入式社区服务设施</w:t>
      </w:r>
      <w:r>
        <w:rPr>
          <w:rFonts w:hint="eastAsia" w:ascii="宋体" w:hAnsi="宋体" w:eastAsia="宋体" w:cs="宋体"/>
          <w:i w:val="0"/>
          <w:iCs w:val="0"/>
          <w:caps w:val="0"/>
          <w:color w:val="333333"/>
          <w:spacing w:val="0"/>
          <w:sz w:val="15"/>
          <w:szCs w:val="15"/>
          <w:bdr w:val="none" w:color="auto" w:sz="0" w:space="0"/>
          <w:shd w:val="clear" w:fill="FFFFFF"/>
          <w:vertAlign w:val="superscript"/>
        </w:rPr>
        <w:t>126</w:t>
      </w:r>
      <w:r>
        <w:rPr>
          <w:rFonts w:hint="eastAsia" w:ascii="宋体" w:hAnsi="宋体" w:eastAsia="宋体" w:cs="宋体"/>
          <w:i w:val="0"/>
          <w:iCs w:val="0"/>
          <w:caps w:val="0"/>
          <w:color w:val="333333"/>
          <w:spacing w:val="0"/>
          <w:sz w:val="24"/>
          <w:szCs w:val="24"/>
          <w:bdr w:val="none" w:color="auto" w:sz="0" w:space="0"/>
          <w:shd w:val="clear" w:fill="FFFFFF"/>
        </w:rPr>
        <w:t>建设，构建“15分钟便民生活圈”，试点建设20个安全健康、设施完善、管理有序的未来社区（完整社区）</w:t>
      </w:r>
      <w:r>
        <w:rPr>
          <w:rFonts w:hint="eastAsia" w:ascii="宋体" w:hAnsi="宋体" w:eastAsia="宋体" w:cs="宋体"/>
          <w:i w:val="0"/>
          <w:iCs w:val="0"/>
          <w:caps w:val="0"/>
          <w:color w:val="333333"/>
          <w:spacing w:val="0"/>
          <w:sz w:val="15"/>
          <w:szCs w:val="15"/>
          <w:bdr w:val="none" w:color="auto" w:sz="0" w:space="0"/>
          <w:shd w:val="clear" w:fill="FFFFFF"/>
          <w:vertAlign w:val="superscript"/>
        </w:rPr>
        <w:t>127</w:t>
      </w:r>
      <w:r>
        <w:rPr>
          <w:rFonts w:hint="eastAsia" w:ascii="宋体" w:hAnsi="宋体" w:eastAsia="宋体" w:cs="宋体"/>
          <w:i w:val="0"/>
          <w:iCs w:val="0"/>
          <w:caps w:val="0"/>
          <w:color w:val="333333"/>
          <w:spacing w:val="0"/>
          <w:sz w:val="24"/>
          <w:szCs w:val="24"/>
          <w:bdr w:val="none" w:color="auto" w:sz="0" w:space="0"/>
          <w:shd w:val="clear" w:fill="FFFFFF"/>
        </w:rPr>
        <w:t>。</w:t>
      </w:r>
    </w:p>
    <w:p w14:paraId="1C07285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A5D768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第三节  焕新产业发展空间</w:t>
      </w:r>
    </w:p>
    <w:p w14:paraId="75DC0A7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3BB034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推动北京路、沙面、上下九等商业步行街、旧商业街区改造，深入推进商业文化遗产保护与活化利用，优化交通组织、整饰街区形象、丰富产业业态、创新消费场景，因地制宜打造一批产城融合的创新街区。深入开展低效用地再开发试点，推进低效存量工业用地盘活利用，加大“工改工”</w:t>
      </w:r>
      <w:r>
        <w:rPr>
          <w:rFonts w:hint="eastAsia" w:ascii="宋体" w:hAnsi="宋体" w:eastAsia="宋体" w:cs="宋体"/>
          <w:i w:val="0"/>
          <w:iCs w:val="0"/>
          <w:caps w:val="0"/>
          <w:color w:val="333333"/>
          <w:spacing w:val="0"/>
          <w:sz w:val="15"/>
          <w:szCs w:val="15"/>
          <w:bdr w:val="none" w:color="auto" w:sz="0" w:space="0"/>
          <w:shd w:val="clear" w:fill="FFFFFF"/>
          <w:vertAlign w:val="superscript"/>
        </w:rPr>
        <w:t>128</w:t>
      </w:r>
      <w:r>
        <w:rPr>
          <w:rFonts w:hint="eastAsia" w:ascii="宋体" w:hAnsi="宋体" w:eastAsia="宋体" w:cs="宋体"/>
          <w:i w:val="0"/>
          <w:iCs w:val="0"/>
          <w:caps w:val="0"/>
          <w:color w:val="333333"/>
          <w:spacing w:val="0"/>
          <w:sz w:val="24"/>
          <w:szCs w:val="24"/>
          <w:bdr w:val="none" w:color="auto" w:sz="0" w:space="0"/>
          <w:shd w:val="clear" w:fill="FFFFFF"/>
        </w:rPr>
        <w:t>“混合用地”等政策支持力度，鼓励通过“工业上楼”</w:t>
      </w:r>
      <w:r>
        <w:rPr>
          <w:rFonts w:hint="eastAsia" w:ascii="宋体" w:hAnsi="宋体" w:eastAsia="宋体" w:cs="宋体"/>
          <w:i w:val="0"/>
          <w:iCs w:val="0"/>
          <w:caps w:val="0"/>
          <w:color w:val="333333"/>
          <w:spacing w:val="0"/>
          <w:sz w:val="15"/>
          <w:szCs w:val="15"/>
          <w:bdr w:val="none" w:color="auto" w:sz="0" w:space="0"/>
          <w:shd w:val="clear" w:fill="FFFFFF"/>
          <w:vertAlign w:val="superscript"/>
        </w:rPr>
        <w:t>129</w:t>
      </w:r>
      <w:r>
        <w:rPr>
          <w:rFonts w:hint="eastAsia" w:ascii="宋体" w:hAnsi="宋体" w:eastAsia="宋体" w:cs="宋体"/>
          <w:i w:val="0"/>
          <w:iCs w:val="0"/>
          <w:caps w:val="0"/>
          <w:color w:val="333333"/>
          <w:spacing w:val="0"/>
          <w:sz w:val="24"/>
          <w:szCs w:val="24"/>
          <w:bdr w:val="none" w:color="auto" w:sz="0" w:space="0"/>
          <w:shd w:val="clear" w:fill="FFFFFF"/>
        </w:rPr>
        <w:t>“微改造”等方式重塑老旧厂区形态，提高土地利用效率，推动红专厂、广州1935项目（广州发电厂主厂区改造项目）建设，形成各具特色的文化创意、科技研发等新型产业空间。推动老旧商业综合体、办公楼等实施局部拆建、立面整饰、空间重组，促进低效楼宇消除安全隐患、优化业态结构、提升功能品质，引导楼宇业态转型升级。鼓励与周边区域协同更新，完善停车等公共服务功能。</w:t>
      </w:r>
    </w:p>
    <w:p w14:paraId="747A82D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C221AA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第四节  优化提升人居环境</w:t>
      </w:r>
    </w:p>
    <w:p w14:paraId="7FB5480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F93691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建立健全城市体检与城市更新一体化推进机制，强化城市设计对城市更新项目实施的引导作用。全面排查基础设施风险隐患，统筹推进市政道路、公共消防、生态环境等基础设施更新改造，因地制宜对供水、排水、供电、燃气、热力、消火栓、地下综合管廊等市政基础设施进行数字化改造升级和智能化管理。提高城市设计科学化水平，优化提升重点区域品质，持续推动人民设计师</w:t>
      </w:r>
      <w:r>
        <w:rPr>
          <w:rFonts w:hint="eastAsia" w:ascii="宋体" w:hAnsi="宋体" w:eastAsia="宋体" w:cs="宋体"/>
          <w:i w:val="0"/>
          <w:iCs w:val="0"/>
          <w:caps w:val="0"/>
          <w:color w:val="333333"/>
          <w:spacing w:val="0"/>
          <w:sz w:val="15"/>
          <w:szCs w:val="15"/>
          <w:bdr w:val="none" w:color="auto" w:sz="0" w:space="0"/>
          <w:shd w:val="clear" w:fill="FFFFFF"/>
          <w:vertAlign w:val="superscript"/>
        </w:rPr>
        <w:t>130</w:t>
      </w:r>
      <w:r>
        <w:rPr>
          <w:rFonts w:hint="eastAsia" w:ascii="宋体" w:hAnsi="宋体" w:eastAsia="宋体" w:cs="宋体"/>
          <w:i w:val="0"/>
          <w:iCs w:val="0"/>
          <w:caps w:val="0"/>
          <w:color w:val="333333"/>
          <w:spacing w:val="0"/>
          <w:sz w:val="24"/>
          <w:szCs w:val="24"/>
          <w:bdr w:val="none" w:color="auto" w:sz="0" w:space="0"/>
          <w:shd w:val="clear" w:fill="FFFFFF"/>
        </w:rPr>
        <w:t>系列工作，打造精致街区，严格管理超大体量公共建筑、超高层建筑，营造中西合璧、古今交融的岭南城市特色风貌。推动老城增绿，建设各美其美的岭南风格生态社区。建立与建筑功能转换和混合利用需求相适应的规划调整机制，探索政府引导、市场运作、居民共担的可持续城市更新模式，构建可持续的城市建设运营投融资体系。</w:t>
      </w:r>
    </w:p>
    <w:p w14:paraId="30C55C4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53AD9A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第二十六章  打造美丽中国城市样板</w:t>
      </w:r>
    </w:p>
    <w:p w14:paraId="4F9F1ED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6041BF2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深入践行绿水青山就是金山银山的理念，以碳达峰碳中和</w:t>
      </w:r>
      <w:r>
        <w:rPr>
          <w:rFonts w:hint="eastAsia" w:ascii="宋体" w:hAnsi="宋体" w:eastAsia="宋体" w:cs="宋体"/>
          <w:i w:val="0"/>
          <w:iCs w:val="0"/>
          <w:caps w:val="0"/>
          <w:color w:val="333333"/>
          <w:spacing w:val="0"/>
          <w:sz w:val="15"/>
          <w:szCs w:val="15"/>
          <w:bdr w:val="none" w:color="auto" w:sz="0" w:space="0"/>
          <w:shd w:val="clear" w:fill="FFFFFF"/>
          <w:vertAlign w:val="superscript"/>
        </w:rPr>
        <w:t>131</w:t>
      </w:r>
      <w:r>
        <w:rPr>
          <w:rFonts w:hint="eastAsia" w:ascii="宋体" w:hAnsi="宋体" w:eastAsia="宋体" w:cs="宋体"/>
          <w:i w:val="0"/>
          <w:iCs w:val="0"/>
          <w:caps w:val="0"/>
          <w:color w:val="333333"/>
          <w:spacing w:val="0"/>
          <w:sz w:val="24"/>
          <w:szCs w:val="24"/>
          <w:bdr w:val="none" w:color="auto" w:sz="0" w:space="0"/>
          <w:shd w:val="clear" w:fill="FFFFFF"/>
        </w:rPr>
        <w:t>为牵引，协同推进降碳、减污、扩绿、增长，打造连续完整的城市生态基础设施体系，大力发展生态经济，促进人与自然和谐共生，充分彰显云山珠水、吉祥花城的无穷魅力。</w:t>
      </w:r>
    </w:p>
    <w:p w14:paraId="656FB80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73D5E8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深化国家碳达峰试点</w:t>
      </w:r>
    </w:p>
    <w:p w14:paraId="4BF85B5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304F971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构建碳排放双控制度体系。搭建广州市碳达峰碳中和监测管理平台（穗碳云），加强能源、工业、建筑、交通运输等领域碳排放核算，推动能耗双控向碳排放双控全面转型。完善节能降碳管理制度，加强重点用能单位和重点碳排放单位节能降碳监督管理，强化能源和碳排放计量器具配备及检定校准。强化新上“两高一低”项目</w:t>
      </w:r>
      <w:r>
        <w:rPr>
          <w:rFonts w:hint="eastAsia" w:ascii="宋体" w:hAnsi="宋体" w:eastAsia="宋体" w:cs="宋体"/>
          <w:i w:val="0"/>
          <w:iCs w:val="0"/>
          <w:caps w:val="0"/>
          <w:color w:val="333333"/>
          <w:spacing w:val="0"/>
          <w:sz w:val="15"/>
          <w:szCs w:val="15"/>
          <w:bdr w:val="none" w:color="auto" w:sz="0" w:space="0"/>
          <w:shd w:val="clear" w:fill="FFFFFF"/>
          <w:vertAlign w:val="superscript"/>
        </w:rPr>
        <w:t>132</w:t>
      </w:r>
      <w:r>
        <w:rPr>
          <w:rFonts w:hint="eastAsia" w:ascii="宋体" w:hAnsi="宋体" w:eastAsia="宋体" w:cs="宋体"/>
          <w:i w:val="0"/>
          <w:iCs w:val="0"/>
          <w:caps w:val="0"/>
          <w:color w:val="333333"/>
          <w:spacing w:val="0"/>
          <w:sz w:val="24"/>
          <w:szCs w:val="24"/>
          <w:bdr w:val="none" w:color="auto" w:sz="0" w:space="0"/>
          <w:shd w:val="clear" w:fill="FFFFFF"/>
        </w:rPr>
        <w:t>源头把关，加强新增项目能耗、碳排放和污染物排放管控。以生物质电厂为重点打造一批国家级和省级零碳园区，创设一批市级零碳或近零碳场景。加快建设国家碳计量中心，探索建立产品碳足迹管理体系，推动重点产品碳足迹标识认证。加快推进南沙减污降碳协同创新试点建设。</w:t>
      </w:r>
    </w:p>
    <w:p w14:paraId="5574051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推动重点领域低碳转型发展。建设绿色低碳的能源消费体系，加强煤炭清洁高效利用，推进煤电改造升级，推动煤炭和石油消费达峰，单位GDP能耗持续下降。推动重点行业、重点企业、重点设备控煤减煤，压减非发电用煤。积极推行绿色制造、绿色服务和清洁生产，推进钢铁、有色、化工、建材等行业绿色低碳转型，提升工业整体能效碳效水平。大力发展绿色建造和智能建造，推动城乡规划、建设、治理各环节全面绿色转型，持续提升绿色建筑发展水平。积极推动交通动力低碳替代，加快高排放车辆、船舶等的淘汰更新，加快货运、公共领域电动化和绿色燃料车船应用，提高大宗货物铁路、水路运输比重和新能源汽车运输比重。提升算力设施、5G基站等新兴领域用能效率。加快港口岸电设施改造与常态化使用，在公共交通场站推广应用绿色照明、节能空调等节能技术。健全重点领域能效诊断机制，深入实施能效标识和能效“领跑者”制度。</w:t>
      </w:r>
    </w:p>
    <w:tbl>
      <w:tblPr>
        <w:tblW w:w="8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575"/>
        <w:gridCol w:w="8365"/>
      </w:tblGrid>
      <w:tr w14:paraId="2A440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11239"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2FA3FF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Style w:val="6"/>
                <w:rFonts w:hint="eastAsia" w:ascii="宋体" w:hAnsi="宋体" w:eastAsia="宋体" w:cs="宋体"/>
                <w:i w:val="0"/>
                <w:iCs w:val="0"/>
                <w:caps w:val="0"/>
                <w:color w:val="333333"/>
                <w:spacing w:val="0"/>
                <w:sz w:val="24"/>
                <w:szCs w:val="24"/>
                <w:bdr w:val="none" w:color="auto" w:sz="0" w:space="0"/>
              </w:rPr>
              <w:t>专栏10  重点领域碳达峰行动</w:t>
            </w:r>
          </w:p>
        </w:tc>
      </w:tr>
      <w:tr w14:paraId="51295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4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49A3775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01</w:t>
            </w:r>
          </w:p>
        </w:tc>
        <w:tc>
          <w:tcPr>
            <w:tcW w:w="831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4D48F0C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能源领域</w:t>
            </w:r>
          </w:p>
          <w:p w14:paraId="2E965AE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积极发展氢能、新型储能和光伏产业，探索产业园区生物质集中供热，推进煤电改造升级，推动煤炭清洁高效利用，拓宽新型电力系统应用场景。</w:t>
            </w:r>
          </w:p>
        </w:tc>
      </w:tr>
      <w:tr w14:paraId="62EDB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4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3FA1626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02</w:t>
            </w:r>
          </w:p>
        </w:tc>
        <w:tc>
          <w:tcPr>
            <w:tcW w:w="831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0505B00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工业领域</w:t>
            </w:r>
          </w:p>
          <w:p w14:paraId="614F10D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加快工业重点领域节能改造，推动石化、钢铁、水泥、汽车、电子信息等行业实施节能、节水、节材、减污、降碳等系统性清洁生产改造。</w:t>
            </w:r>
          </w:p>
        </w:tc>
      </w:tr>
      <w:tr w14:paraId="53692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4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22C2B6E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03</w:t>
            </w:r>
          </w:p>
        </w:tc>
        <w:tc>
          <w:tcPr>
            <w:tcW w:w="831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0CC33A3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建筑领域</w:t>
            </w:r>
          </w:p>
          <w:p w14:paraId="54066C6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推进超低能耗和装配式建筑规模化建设，推广绿色建材产品，推行城市智慧化管理，加大既有建筑节能改造和能效管理，推进“光伏+建筑”应用，新建民用建筑全面按照绿色建筑一星级及以上标准建设。</w:t>
            </w:r>
          </w:p>
        </w:tc>
      </w:tr>
      <w:tr w14:paraId="0C1BF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4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2F72E5D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04</w:t>
            </w:r>
          </w:p>
        </w:tc>
        <w:tc>
          <w:tcPr>
            <w:tcW w:w="831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2FBE2F0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交通领域</w:t>
            </w:r>
          </w:p>
          <w:p w14:paraId="42F6A07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优化交通运输组织结构，建设绿色低碳交通设施，推动运输装备低碳转型，大力推广新能源汽车，稳步提高新能源汽车在新车产销和汽车保有量中的占比，创建一批零碳机场、火车站、港口等零碳枢纽。</w:t>
            </w:r>
          </w:p>
        </w:tc>
      </w:tr>
    </w:tbl>
    <w:p w14:paraId="259CE4C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促进资源集约循环利用。大力发展循环经济，健全废弃物循环利用体系，完善资源总量管理和全面节约制度，加强水、土地、矿产等资源全过程管理和全链条节约。加快发展绿色能源、绿色先进制造、绿色服务等绿色低碳产业。开展节水型社会建设，提高水资源集约安全利用水平，全面落实水资源刚性约束制度，强化工业节水减排、农业节水增效、城镇节水降损，完善节水市场机制，大力推广合同节水管理，推动节水产品装备升级换代，全市年用水总量控制在49.52亿立方米以内，单位GDP用水量持续下降。提升建设用地利用效率，推广应用节地技术和节地模式，“十五五”期间单位GDP建设用地使用面积下降率达27.5%。深入推进“无废城市”</w:t>
      </w:r>
      <w:r>
        <w:rPr>
          <w:rFonts w:hint="eastAsia" w:ascii="宋体" w:hAnsi="宋体" w:eastAsia="宋体" w:cs="宋体"/>
          <w:i w:val="0"/>
          <w:iCs w:val="0"/>
          <w:caps w:val="0"/>
          <w:color w:val="333333"/>
          <w:spacing w:val="0"/>
          <w:sz w:val="15"/>
          <w:szCs w:val="15"/>
          <w:bdr w:val="none" w:color="auto" w:sz="0" w:space="0"/>
          <w:shd w:val="clear" w:fill="FFFFFF"/>
          <w:vertAlign w:val="superscript"/>
        </w:rPr>
        <w:t>133</w:t>
      </w:r>
      <w:r>
        <w:rPr>
          <w:rFonts w:hint="eastAsia" w:ascii="宋体" w:hAnsi="宋体" w:eastAsia="宋体" w:cs="宋体"/>
          <w:i w:val="0"/>
          <w:iCs w:val="0"/>
          <w:caps w:val="0"/>
          <w:color w:val="333333"/>
          <w:spacing w:val="0"/>
          <w:sz w:val="24"/>
          <w:szCs w:val="24"/>
          <w:bdr w:val="none" w:color="auto" w:sz="0" w:space="0"/>
          <w:shd w:val="clear" w:fill="FFFFFF"/>
        </w:rPr>
        <w:t>建设，探索制定“无废指数”，强化“无废”理念宣传普及。完善生活垃圾分类处理体系，推动建筑垃圾、工业固体废物循环利用，提升固体废物无害化处置能力和资源化利用水平。推进园区循环化改造。加强高效节能降碳产品、设备、技术的市场供给和推广应用。深入开展垃圾分类、节水节电、绿色出行、绿色消费等绿色生活行动。加强与国家资源循环战略力量合作，推动报废电池、废塑料和飞灰等领域资源循环利用。加快生物质厂供热技术改造，提升供热服务效能。</w:t>
      </w:r>
    </w:p>
    <w:p w14:paraId="7C40058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3E1D31A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提升生态环境治理水平</w:t>
      </w:r>
    </w:p>
    <w:p w14:paraId="3DAC833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14B010B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开展城市空气治理提质行动，强化细颗粒物（PM2.5）控制，协同控制臭氧（O3），有力有序有效控制甲烷等非二氧化碳温室气体排放。深入推进重点行业超低排放改造，推动挥发性有机物源头替代和全流程治理，落实国家下一阶段机动车排放和油品质量标准。加强餐饮油烟、恶臭异味治理。优化强化河湖长制，加强江、河、湖系统治理和生态保护，巩固黑臭水体治理成效。打造绿美碧道、碧带，建设幸福河湖，推进城市水系活力提升，推出更多高品质滨水空间。建设环城北污水处理厂、南沙污水处理厂扩建工程，推动污水收集处理系统降本增效，深化污水处理按效付费机制，打造健康韧性、绿色低碳的污水收集处理系统。加强土壤污染源头防控，强化涉重金属行业污染防控和土壤污染重点监管单位管理，推进受污染耕地、建设用地安全利用。加强地下水资源保护，实施地下水污染防治分区管理。深入开展塑料污染治理，完善医疗废物收集转运处置体系，推进固体废物治理。探索建立新污染物协同治理和风险管控体系。加强噪声污染治理。建立现代化生态环境监测体系，加强生态环境保护考核评价，推进环境健康管理试点建设。探索美丽城市建设投融资模式，推行“美丽广州—美丽区县—美丽单元—美丽细胞—美丽工程”的立体建设模式。深化与粤港澳大湾区其他城市生态环境共保联治。</w:t>
      </w:r>
    </w:p>
    <w:p w14:paraId="157652E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E32B09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第三节  共育花城生态名片</w:t>
      </w:r>
    </w:p>
    <w:p w14:paraId="6FED4F0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C89B03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深入实施主体功能区战略，落实优化“三区三线”</w:t>
      </w:r>
      <w:r>
        <w:rPr>
          <w:rFonts w:hint="eastAsia" w:ascii="宋体" w:hAnsi="宋体" w:eastAsia="宋体" w:cs="宋体"/>
          <w:i w:val="0"/>
          <w:iCs w:val="0"/>
          <w:caps w:val="0"/>
          <w:color w:val="333333"/>
          <w:spacing w:val="0"/>
          <w:sz w:val="15"/>
          <w:szCs w:val="15"/>
          <w:bdr w:val="none" w:color="auto" w:sz="0" w:space="0"/>
          <w:shd w:val="clear" w:fill="FFFFFF"/>
          <w:vertAlign w:val="superscript"/>
        </w:rPr>
        <w:t>134</w:t>
      </w:r>
      <w:r>
        <w:rPr>
          <w:rFonts w:hint="eastAsia" w:ascii="宋体" w:hAnsi="宋体" w:eastAsia="宋体" w:cs="宋体"/>
          <w:i w:val="0"/>
          <w:iCs w:val="0"/>
          <w:caps w:val="0"/>
          <w:color w:val="333333"/>
          <w:spacing w:val="0"/>
          <w:sz w:val="24"/>
          <w:szCs w:val="24"/>
          <w:bdr w:val="none" w:color="auto" w:sz="0" w:space="0"/>
          <w:shd w:val="clear" w:fill="FFFFFF"/>
        </w:rPr>
        <w:t>管控要求，实施差别化、精细化用途管制。塑造“新青山新六脉”</w:t>
      </w:r>
      <w:r>
        <w:rPr>
          <w:rFonts w:hint="eastAsia" w:ascii="宋体" w:hAnsi="宋体" w:eastAsia="宋体" w:cs="宋体"/>
          <w:i w:val="0"/>
          <w:iCs w:val="0"/>
          <w:caps w:val="0"/>
          <w:color w:val="333333"/>
          <w:spacing w:val="0"/>
          <w:sz w:val="15"/>
          <w:szCs w:val="15"/>
          <w:bdr w:val="none" w:color="auto" w:sz="0" w:space="0"/>
          <w:shd w:val="clear" w:fill="FFFFFF"/>
          <w:vertAlign w:val="superscript"/>
        </w:rPr>
        <w:t>135</w:t>
      </w:r>
      <w:r>
        <w:rPr>
          <w:rFonts w:hint="eastAsia" w:ascii="宋体" w:hAnsi="宋体" w:eastAsia="宋体" w:cs="宋体"/>
          <w:i w:val="0"/>
          <w:iCs w:val="0"/>
          <w:caps w:val="0"/>
          <w:color w:val="333333"/>
          <w:spacing w:val="0"/>
          <w:sz w:val="24"/>
          <w:szCs w:val="24"/>
          <w:bdr w:val="none" w:color="auto" w:sz="0" w:space="0"/>
          <w:shd w:val="clear" w:fill="FFFFFF"/>
        </w:rPr>
        <w:t>生态品牌，构建“九片六核多廊”生态空间结构，保育九大生态片区</w:t>
      </w:r>
      <w:r>
        <w:rPr>
          <w:rFonts w:hint="eastAsia" w:ascii="宋体" w:hAnsi="宋体" w:eastAsia="宋体" w:cs="宋体"/>
          <w:i w:val="0"/>
          <w:iCs w:val="0"/>
          <w:caps w:val="0"/>
          <w:color w:val="333333"/>
          <w:spacing w:val="0"/>
          <w:sz w:val="15"/>
          <w:szCs w:val="15"/>
          <w:bdr w:val="none" w:color="auto" w:sz="0" w:space="0"/>
          <w:shd w:val="clear" w:fill="FFFFFF"/>
          <w:vertAlign w:val="superscript"/>
        </w:rPr>
        <w:t>136</w:t>
      </w:r>
      <w:r>
        <w:rPr>
          <w:rFonts w:hint="eastAsia" w:ascii="宋体" w:hAnsi="宋体" w:eastAsia="宋体" w:cs="宋体"/>
          <w:i w:val="0"/>
          <w:iCs w:val="0"/>
          <w:caps w:val="0"/>
          <w:color w:val="333333"/>
          <w:spacing w:val="0"/>
          <w:sz w:val="24"/>
          <w:szCs w:val="24"/>
          <w:bdr w:val="none" w:color="auto" w:sz="0" w:space="0"/>
          <w:shd w:val="clear" w:fill="FFFFFF"/>
        </w:rPr>
        <w:t>和六大生态绿核</w:t>
      </w:r>
      <w:r>
        <w:rPr>
          <w:rFonts w:hint="eastAsia" w:ascii="宋体" w:hAnsi="宋体" w:eastAsia="宋体" w:cs="宋体"/>
          <w:i w:val="0"/>
          <w:iCs w:val="0"/>
          <w:caps w:val="0"/>
          <w:color w:val="333333"/>
          <w:spacing w:val="0"/>
          <w:sz w:val="15"/>
          <w:szCs w:val="15"/>
          <w:bdr w:val="none" w:color="auto" w:sz="0" w:space="0"/>
          <w:shd w:val="clear" w:fill="FFFFFF"/>
          <w:vertAlign w:val="superscript"/>
        </w:rPr>
        <w:t>137</w:t>
      </w:r>
      <w:r>
        <w:rPr>
          <w:rFonts w:hint="eastAsia" w:ascii="宋体" w:hAnsi="宋体" w:eastAsia="宋体" w:cs="宋体"/>
          <w:i w:val="0"/>
          <w:iCs w:val="0"/>
          <w:caps w:val="0"/>
          <w:color w:val="333333"/>
          <w:spacing w:val="0"/>
          <w:sz w:val="24"/>
          <w:szCs w:val="24"/>
          <w:bdr w:val="none" w:color="auto" w:sz="0" w:space="0"/>
          <w:shd w:val="clear" w:fill="FFFFFF"/>
        </w:rPr>
        <w:t>，完善“区域—组团—社区”三级生态廊道网络。深入开展生态环境分区管控，统筹推进山水林田湖海一体化保护和系统治理。加强湿地和红树林保护修复，实施生物多样性保护工程。加强有害生物防治，强化外来入侵物种监测管控。支持华南国家植物园建设世界一流植物园，加快北部（风云岭、花都湖）、中部（白云山、海珠湿地）、南部（大夫山）三片迁地保护示范区建设，完善城园融合体系。集中连片打造高质林分、优美林相、城市微森林，持续实施古树名木保护提升行动。健全四级公园体系，积极建设山地公园、郊野公园等生态公园，加强口袋公园建设与维护。推进环南昆山—罗浮山绿美带、城央绿心、珠江景观带、生态翠环、内湾绿环建设。构建“多道融合”的慢行游憩空间体系，完善配套服务设施，建成绿道达4300公里、森林步道达1400公里，协同打造连续贯通、宽阔可见的粤港澳大湾区内湾绿带。</w:t>
      </w:r>
    </w:p>
    <w:p w14:paraId="223FAA6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2E728B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第四节  探索生态产品价值实现转化路径</w:t>
      </w:r>
    </w:p>
    <w:p w14:paraId="15A5978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6E65CDF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研究制定生态保护补偿管理办法，健全生态补偿和环境治理长效机制。优化政府绿色采购政策，拓展绿色产品采购范围和规模，持续推进海珠、花都、从化等省级生态产品价值实现机制试点建设，支持从化、增城建设“绿水青山就是金山银山”实践创新基地，深化南沙气候投融资试点。探索湿地碳汇交易机制，通过生态旅游、生态农业、生态补偿、自然教育等途径，探索湿地生态产品价值实现多样化路径，加强湿地占补平衡。强化生态产品质量管控，建立生态产品质量标准和认证体系。创新森林经营模式，探索林业碳汇开发应用，优化林业生态产品供给，做优做强森林康养等富民林业。积极推广碳普惠机制，发展“生态+”新业态，推行“生态资产权益抵押+项目贷”模式。推动企业碳排放、产品碳足迹等绿色低碳信息纳入绿色采购、绿色金融、信用监督、社会责任等评价体系。支持广州碳排放权交易中心建设省级生态产品价值实现平台，探索开展碳排放权、绿电绿证、用水权、排污权等绿色要素交易，丰富绿色要素交易品种，拓宽碳汇市场化交易路径。</w:t>
      </w:r>
    </w:p>
    <w:p w14:paraId="1FA9357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669BC05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第二十七章  提升现代化城市治理效能</w:t>
      </w:r>
    </w:p>
    <w:p w14:paraId="2ABE464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F1E7D1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推进城市治理智慧化精细化，守牢城市安全底线，完善多元共治社会治理格局，以高效能城市治理保障和促进城市高质量发展。</w:t>
      </w:r>
    </w:p>
    <w:p w14:paraId="4FD701A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5AF64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增强城市智慧化治理能力</w:t>
      </w:r>
    </w:p>
    <w:p w14:paraId="33B4001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E55535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完善城市运行和治理智能中枢。建设更高水平的数字广州，打造超大城市智慧化治理新标杆。优化升级“穗智管”城市运行管理中枢，构建以数据、算法为基础的智能分析研判平台，全面提升辅助决策能力。推广“白云智慧城管”模式，提升全城“一网统管”水平。完善智慧广州时空信息云平台、城市信息模型（CIM）功能，建设实景三维广州统一时空数据底座，夯实国土空间数智化治理基础。推动城市规划、建设、管理、运维全过程各环节数据融通，加强城市生命体征监测。创设城市管理、应急、交通、市场监管等重点领域核心业务数字孪生场景，提升城市治理智慧化水平。</w:t>
      </w:r>
    </w:p>
    <w:p w14:paraId="5F2A97B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推动政务服务智能化转型。搭建公共管理数字资源系统，建设全市政务大模型统一应用开发平台。以人工智能技术推进政府服务管理流程优化、模式创新和履职能力提升，构建集约化、数字化、智能化的政府运行新形态，不断提升“穗好办”</w:t>
      </w:r>
      <w:r>
        <w:rPr>
          <w:rFonts w:hint="eastAsia" w:ascii="宋体" w:hAnsi="宋体" w:eastAsia="宋体" w:cs="宋体"/>
          <w:i w:val="0"/>
          <w:iCs w:val="0"/>
          <w:caps w:val="0"/>
          <w:color w:val="333333"/>
          <w:spacing w:val="0"/>
          <w:sz w:val="15"/>
          <w:szCs w:val="15"/>
          <w:bdr w:val="none" w:color="auto" w:sz="0" w:space="0"/>
          <w:shd w:val="clear" w:fill="FFFFFF"/>
          <w:vertAlign w:val="superscript"/>
        </w:rPr>
        <w:t>138</w:t>
      </w:r>
      <w:r>
        <w:rPr>
          <w:rFonts w:hint="eastAsia" w:ascii="宋体" w:hAnsi="宋体" w:eastAsia="宋体" w:cs="宋体"/>
          <w:i w:val="0"/>
          <w:iCs w:val="0"/>
          <w:caps w:val="0"/>
          <w:color w:val="333333"/>
          <w:spacing w:val="0"/>
          <w:sz w:val="24"/>
          <w:szCs w:val="24"/>
          <w:bdr w:val="none" w:color="auto" w:sz="0" w:space="0"/>
          <w:shd w:val="clear" w:fill="FFFFFF"/>
        </w:rPr>
        <w:t>“穗@i企”</w:t>
      </w:r>
      <w:r>
        <w:rPr>
          <w:rFonts w:hint="eastAsia" w:ascii="宋体" w:hAnsi="宋体" w:eastAsia="宋体" w:cs="宋体"/>
          <w:i w:val="0"/>
          <w:iCs w:val="0"/>
          <w:caps w:val="0"/>
          <w:color w:val="333333"/>
          <w:spacing w:val="0"/>
          <w:sz w:val="15"/>
          <w:szCs w:val="15"/>
          <w:bdr w:val="none" w:color="auto" w:sz="0" w:space="0"/>
          <w:shd w:val="clear" w:fill="FFFFFF"/>
          <w:vertAlign w:val="superscript"/>
        </w:rPr>
        <w:t>139</w:t>
      </w:r>
      <w:r>
        <w:rPr>
          <w:rFonts w:hint="eastAsia" w:ascii="宋体" w:hAnsi="宋体" w:eastAsia="宋体" w:cs="宋体"/>
          <w:i w:val="0"/>
          <w:iCs w:val="0"/>
          <w:caps w:val="0"/>
          <w:color w:val="333333"/>
          <w:spacing w:val="0"/>
          <w:sz w:val="24"/>
          <w:szCs w:val="24"/>
          <w:bdr w:val="none" w:color="auto" w:sz="0" w:space="0"/>
          <w:shd w:val="clear" w:fill="FFFFFF"/>
        </w:rPr>
        <w:t>等“穗系列”政务服务矩阵能级。推动企业服务从政府主导向多元共治转型，建设数智化企业服务平台，实现涉企服务“一网通办”、产业资源“一站汇聚”、企业诉求“一呼即应”。优化居民和企业全生命周期高频事项管理流程，提速扩围“高效办成一件事”，提升“政策兑现”“免申即享”“跨域办”“云上办”等特色服务。推动广州12345政务服务便民热线智能化转型，打造响应更快、体验更佳的政务服务“总客服”。</w:t>
      </w:r>
    </w:p>
    <w:p w14:paraId="269F33F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9E8C1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建设现代化法治城市标杆</w:t>
      </w:r>
    </w:p>
    <w:p w14:paraId="38DBF32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08A337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加强立法工作。加强城市治理、民生等重点领域和人工智能、机器人、游艇产业、生物医药等新兴领域立法供给。推动“小切口”“小快灵”立法。强化立法对改革的引领和推动作用，完善改革决策与立法决策衔接机制，及时把改革经验上升为法规规章制度。争取国家赋予广州更大的地方立法权限。针对粤港澳规则衔接机制对接需要调整法律、行政法规适用的，动态提出需求。办好粤港澳大湾区法治论坛，用好全国人大常委会法工委广东南沙基层立法联系点，积极向国家立法机关反映湾区立法诉求。</w:t>
      </w:r>
    </w:p>
    <w:p w14:paraId="52303BA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深入推进依法行政。持续优化政府机构设置及编制资源配置，推进政府机构、职能、权限、程序、责任法定化，促进政务服务标准化、规范化、便利化。完善公职律师、政府法律顾问工作机制。严格履行重大行政决策法定程序，落实重大行政决策事项年度目录制度。全面推行行政执法公示制度、行政执法全过程记录制度、重大执法决定法制审核制度。完善行政处罚等领域行政裁量权基准制度，规范行政执法自由裁量权行使。加大食品药品、公共卫生、教育培训等关系群众切身利益的重点领域执法力度。创新行政执法方式，构建跨部门、跨区域、跨层级的行政执法协作机制，持续推动涉企行政检查“综合查一次”</w:t>
      </w:r>
      <w:r>
        <w:rPr>
          <w:rFonts w:hint="eastAsia" w:ascii="宋体" w:hAnsi="宋体" w:eastAsia="宋体" w:cs="宋体"/>
          <w:i w:val="0"/>
          <w:iCs w:val="0"/>
          <w:caps w:val="0"/>
          <w:color w:val="333333"/>
          <w:spacing w:val="0"/>
          <w:sz w:val="15"/>
          <w:szCs w:val="15"/>
          <w:bdr w:val="none" w:color="auto" w:sz="0" w:space="0"/>
          <w:shd w:val="clear" w:fill="FFFFFF"/>
          <w:vertAlign w:val="superscript"/>
        </w:rPr>
        <w:t>140</w:t>
      </w:r>
      <w:r>
        <w:rPr>
          <w:rFonts w:hint="eastAsia" w:ascii="宋体" w:hAnsi="宋体" w:eastAsia="宋体" w:cs="宋体"/>
          <w:i w:val="0"/>
          <w:iCs w:val="0"/>
          <w:caps w:val="0"/>
          <w:color w:val="333333"/>
          <w:spacing w:val="0"/>
          <w:sz w:val="24"/>
          <w:szCs w:val="24"/>
          <w:bdr w:val="none" w:color="auto" w:sz="0" w:space="0"/>
          <w:shd w:val="clear" w:fill="FFFFFF"/>
        </w:rPr>
        <w:t>“亮码入企”</w:t>
      </w:r>
      <w:r>
        <w:rPr>
          <w:rFonts w:hint="eastAsia" w:ascii="宋体" w:hAnsi="宋体" w:eastAsia="宋体" w:cs="宋体"/>
          <w:i w:val="0"/>
          <w:iCs w:val="0"/>
          <w:caps w:val="0"/>
          <w:color w:val="333333"/>
          <w:spacing w:val="0"/>
          <w:sz w:val="15"/>
          <w:szCs w:val="15"/>
          <w:bdr w:val="none" w:color="auto" w:sz="0" w:space="0"/>
          <w:shd w:val="clear" w:fill="FFFFFF"/>
          <w:vertAlign w:val="superscript"/>
        </w:rPr>
        <w:t>141</w:t>
      </w:r>
      <w:r>
        <w:rPr>
          <w:rFonts w:hint="eastAsia" w:ascii="宋体" w:hAnsi="宋体" w:eastAsia="宋体" w:cs="宋体"/>
          <w:i w:val="0"/>
          <w:iCs w:val="0"/>
          <w:caps w:val="0"/>
          <w:color w:val="333333"/>
          <w:spacing w:val="0"/>
          <w:sz w:val="24"/>
          <w:szCs w:val="24"/>
          <w:bdr w:val="none" w:color="auto" w:sz="0" w:space="0"/>
          <w:shd w:val="clear" w:fill="FFFFFF"/>
        </w:rPr>
        <w:t>，推进“互联网＋监管”。</w:t>
      </w:r>
    </w:p>
    <w:p w14:paraId="74466D4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全面提升司法公信力。严格公正司法，持续深化司法体制综合配套改革，全面准确落实司法责任制，规范司法权力运行，提高司法裁判公正性、稳定性、权威性。强化检察监督，加强公益诉讼。依法保障人身权、财产权、人格权，健全规范涉企执法长效机制，防止和纠正违规异地执法、趋利性执法。全面准确贯彻宽严相济刑事政策，提升刑罚执行质效。健全行政处罚和刑事处罚双向衔接制度，完善行政执法与刑事司法信息共享机制，深化政法跨部门大数据办案平台建设和应用。支持广州知识产权法院、广州海事法院、广州互联网法院等建设。</w:t>
      </w:r>
    </w:p>
    <w:p w14:paraId="49D1276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夯实法治社会群众基础。持续深入开展全民普法，实施公民法治素养提升行动，围绕城市更新、环境保护、安全生产、反诈防骗等社会治理重点问题开展精准普法。深入落实“谁执法谁普法”普法责任制。更好发挥法学会“法治智库”和“桥梁纽带”作用，健全以案释法、以案普法长效机制，促进普法与法治实践融合。完善公共法律服务体系，推进公共法律服务便捷化、智能化、精准化建设，提供全天候在线智能法律咨询服务，完善公共法律服务模式，优化法律服务资源布局，打造全国公共法律服务最便捷优质城市。深化广州湾区中央法务区建设，打造高能级法务生态圈。</w:t>
      </w:r>
    </w:p>
    <w:p w14:paraId="46DA2D6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加强涉外法治体系和能力建设。一体推进涉外立法、执法、司法、守法和法律服务、法治人才培养，打造涉外法治建设综合平台。加强涉外法规和规则体系研究，提升涉外执法质效，完善涉外司法审判体制机制。深化国际商事仲裁中心建设，积极发展涉外法律服务，支持涉外商事调解机构发展，培育国际一流的仲裁机构和法律服务机构，打造国际商事争议解决和法律服务中心。</w:t>
      </w:r>
    </w:p>
    <w:p w14:paraId="572187F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3740362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第三节  打造平安中国示范城市</w:t>
      </w:r>
    </w:p>
    <w:p w14:paraId="3385D64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2AA90C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维护国家政治和经济安全。健全国家安全体系，把捍卫政治安全摆在首位，严厉打击敌对势力渗透、破坏、颠覆、分裂活动，织密织牢公共安全防护网，坚决守好国家安全“南大门”。推动重大基础设施全面贯彻国防要求。大力支持国防和军队现代化建设，完善国防动员体系，强化全民国防教育。加强网络、高校等重要阵地和数据、生物、人工智能等重点领域安全治理。建立健全产业链供应链韧性评估、攻关管理、风险监测和应急处突机制，强化重点产业链关键环节、价值链高端环节就地化、近地化布局配套。实施重点行业、重点产业“扎根”工程，用好市场主体前哨预警机制，防止重点产业、产业链核心环节大规模无序外迁。加强监管科技应用，探索建立央地协同监管机制，稳妥有序推进地方中小金融机构风险化解，切实做好金融支持房地产纾困和发展工作。加强政府债务管理，做好风险分析研判，牢牢守住不发生系统性风险的底线。</w:t>
      </w:r>
    </w:p>
    <w:p w14:paraId="3143C39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保障粮食物资和食品药品安全。推动国家粮食物流核心枢纽承载城市建设，重点推进南沙粮食集聚区、北部粮油食品产业园、天河龙洞粮库等建设，推动从化、花都等区粮食仓储设施集并建设。完善政策性粮食储备管理制度，健全储备粮动态轮换机制。完善物资储备机制，动态更新应急物资储备目录，构建“政府储备+社会周转储备+产能储备”的多元储备模式，建立常态化轮换更新制度。推进救灾物资仓储基础设施规划建设，优化以市级中心库为核心，区级储备库为支撑的应急救灾物资储备保障布局。推进食品安全全链条监管，落实行业监管、属地管理、企业主体的安全责任体系，加大违法行为惩戒力度。推广食品安全数字化溯源体系，探索食品网络交易违法行为智能监测。建立健全食品抽检制度和进口食品分类分级口岸检验监管制度，完善进出口食品安全监管跨部门协作机制。加强进口冻品、跨境电商零售食品、现制现售食品、预制菜、网络订餐、生鲜配送、直播营销等重点领域食品监管。建立药品全生命周期监管机制，加强血液制品、注射剂、麻醉药品、精神药品、医疗用毒性药品、放射性药品等特殊药品和疫苗监管，强化中药饮片质量监管，贯彻落实网络售药、医保“回流药”、港澳“药械通”产品、生物医药研发用物品进口“白名单”等新领域监管。深化实施药品流通“两票制”</w:t>
      </w:r>
      <w:r>
        <w:rPr>
          <w:rFonts w:hint="eastAsia" w:ascii="宋体" w:hAnsi="宋体" w:eastAsia="宋体" w:cs="宋体"/>
          <w:i w:val="0"/>
          <w:iCs w:val="0"/>
          <w:caps w:val="0"/>
          <w:color w:val="333333"/>
          <w:spacing w:val="0"/>
          <w:sz w:val="15"/>
          <w:szCs w:val="15"/>
          <w:bdr w:val="none" w:color="auto" w:sz="0" w:space="0"/>
          <w:shd w:val="clear" w:fill="FFFFFF"/>
          <w:vertAlign w:val="superscript"/>
        </w:rPr>
        <w:t>142</w:t>
      </w:r>
      <w:r>
        <w:rPr>
          <w:rFonts w:hint="eastAsia" w:ascii="宋体" w:hAnsi="宋体" w:eastAsia="宋体" w:cs="宋体"/>
          <w:i w:val="0"/>
          <w:iCs w:val="0"/>
          <w:caps w:val="0"/>
          <w:color w:val="333333"/>
          <w:spacing w:val="0"/>
          <w:sz w:val="24"/>
          <w:szCs w:val="24"/>
          <w:bdr w:val="none" w:color="auto" w:sz="0" w:space="0"/>
          <w:shd w:val="clear" w:fill="FFFFFF"/>
        </w:rPr>
        <w:t>。</w:t>
      </w:r>
    </w:p>
    <w:p w14:paraId="7A8543D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强化重点领域安全生产管理。完善安全生产责任体系，强化党政同责、“一岗双责”、失职追责，严格落实企业安全生产主体责任，完善安全生产风险排查整治机制和责任倒查机制，针对新业态、新领域及时加强安全生产监管，推动安全生产责任落实落细。加强危险化学品运输与仓储安全管理，严格执行危险化学品禁止、限制和控制目录要求，加强风险分级管控和隐患排查治理。加快淘汰安全性能差、事故隐患多的落后设备，推动老旧电梯、老旧客运索道、大型游乐设施、起重机械等特种设备更新换代、质量提升、技术升级。坚决防范交通运输、建设施工、城镇燃气、消防等领域重特大安全事故。</w:t>
      </w:r>
    </w:p>
    <w:p w14:paraId="6F2EA16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推进社会治安整体防控体系和能力现代化。建立健全社会稳定履责工作机制。完善立体化、法治化、专业化、智能化社会治安防控体系。强化多方联动，建立平安建设联动和协调工作机制，持续推动最小应急单元提质升级，发展壮大群防群治力量，深化“广州街坊”</w:t>
      </w:r>
      <w:r>
        <w:rPr>
          <w:rFonts w:hint="eastAsia" w:ascii="宋体" w:hAnsi="宋体" w:eastAsia="宋体" w:cs="宋体"/>
          <w:i w:val="0"/>
          <w:iCs w:val="0"/>
          <w:caps w:val="0"/>
          <w:color w:val="333333"/>
          <w:spacing w:val="0"/>
          <w:sz w:val="15"/>
          <w:szCs w:val="15"/>
          <w:bdr w:val="none" w:color="auto" w:sz="0" w:space="0"/>
          <w:shd w:val="clear" w:fill="FFFFFF"/>
          <w:vertAlign w:val="superscript"/>
        </w:rPr>
        <w:t>143</w:t>
      </w:r>
      <w:r>
        <w:rPr>
          <w:rFonts w:hint="eastAsia" w:ascii="宋体" w:hAnsi="宋体" w:eastAsia="宋体" w:cs="宋体"/>
          <w:i w:val="0"/>
          <w:iCs w:val="0"/>
          <w:caps w:val="0"/>
          <w:color w:val="333333"/>
          <w:spacing w:val="0"/>
          <w:sz w:val="24"/>
          <w:szCs w:val="24"/>
          <w:bdr w:val="none" w:color="auto" w:sz="0" w:space="0"/>
          <w:shd w:val="clear" w:fill="FFFFFF"/>
        </w:rPr>
        <w:t>品牌建设。加强人防、物防、技防等防范措施。健全扫黑除恶常态化机制，依法严厉打击涉黑涉恶、涉枪涉爆、新型网络犯罪、跨国犯罪和“黄赌毒”“食药环”“盗抢骗”等违法犯罪活动。加强学校、医院、城中村、娱乐场所、车站、港口、机场等重点区域违法犯罪防控和人员服务管理。深入实施“数字政法”，完善综合网格服务管理机制，提高超大社区、城中村、出租屋等综合治理水平。</w:t>
      </w:r>
    </w:p>
    <w:p w14:paraId="46F5914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63104E4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第四节  提升城市韧性水平</w:t>
      </w:r>
    </w:p>
    <w:p w14:paraId="16781B7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F5854D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加快城市基础设施生命线安全工程建设。完善大面积停电事件、成品油供应中断、油气长输管道事故应急预案。构建“上中下协调、蓝绿灰交融、大中小结合”的海绵城市体系，加强城市防洪排涝能力建设，动态更新改造排水管网，推进江海堤防达标加固。积极稳步推进医疗卫生、交通物流、旅游休闲等“平急两用”公共基础设施建设，提升公共基础设施平急转换能力。持续提高监测预报预警水平和防灾减灾抗灾救灾能力，建设天地一体、全域覆盖的城市安全综合立体感知网络。优化城市应急避护场所布局，加强应急避护设施建设。开展最小应急响应圈</w:t>
      </w:r>
      <w:r>
        <w:rPr>
          <w:rFonts w:hint="eastAsia" w:ascii="宋体" w:hAnsi="宋体" w:eastAsia="宋体" w:cs="宋体"/>
          <w:i w:val="0"/>
          <w:iCs w:val="0"/>
          <w:caps w:val="0"/>
          <w:color w:val="333333"/>
          <w:spacing w:val="0"/>
          <w:sz w:val="15"/>
          <w:szCs w:val="15"/>
          <w:bdr w:val="none" w:color="auto" w:sz="0" w:space="0"/>
          <w:shd w:val="clear" w:fill="FFFFFF"/>
          <w:vertAlign w:val="superscript"/>
        </w:rPr>
        <w:t>144</w:t>
      </w:r>
      <w:r>
        <w:rPr>
          <w:rFonts w:hint="eastAsia" w:ascii="宋体" w:hAnsi="宋体" w:eastAsia="宋体" w:cs="宋体"/>
          <w:i w:val="0"/>
          <w:iCs w:val="0"/>
          <w:caps w:val="0"/>
          <w:color w:val="333333"/>
          <w:spacing w:val="0"/>
          <w:sz w:val="24"/>
          <w:szCs w:val="24"/>
          <w:bdr w:val="none" w:color="auto" w:sz="0" w:space="0"/>
          <w:shd w:val="clear" w:fill="FFFFFF"/>
        </w:rPr>
        <w:t>建设，打造最基层最坚实应急安全防线。持续加强消防站、训练与战勤保障基地、科普教育基地等消防基础设施和消防救援力量建设，补齐消防基础设施建设短板。增强灾害事故事前预防、应急指挥调度能力，提升抢险救灾综合保障水平。建立健全高层建筑、老旧小区、城中村、历史街区风险隐患排查和整治机制。支持社会应急力量健康发展，形成以综合性消防救援队伍为主力、专业应急救援力量为协同、社会应急力量为辅助的覆盖全市的应急救援队伍体系。提升应对气候变化特别是极端天气的能力，建设中国气象局气象导航中心粤港澳大湾区分中心，增强航运、低空等领域服务保障能力。</w:t>
      </w:r>
    </w:p>
    <w:p w14:paraId="030D87D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767C1A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第五节  完善多元共治社会治理格局</w:t>
      </w:r>
    </w:p>
    <w:p w14:paraId="4B3D348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052F75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完善共建共治共享的社会治理制度，健全超大城市社会工作体制机制，加强市、区、乡镇（街道）综治中心规范化建设和实战化运行。加强新经济组织、新社会组织、新就业群体党的建设。强化党建引领基层治理和基层政权建设，系统推进“两社三中心”</w:t>
      </w:r>
      <w:r>
        <w:rPr>
          <w:rFonts w:hint="eastAsia" w:ascii="宋体" w:hAnsi="宋体" w:eastAsia="宋体" w:cs="宋体"/>
          <w:i w:val="0"/>
          <w:iCs w:val="0"/>
          <w:caps w:val="0"/>
          <w:color w:val="333333"/>
          <w:spacing w:val="0"/>
          <w:sz w:val="15"/>
          <w:szCs w:val="15"/>
          <w:bdr w:val="none" w:color="auto" w:sz="0" w:space="0"/>
          <w:shd w:val="clear" w:fill="FFFFFF"/>
          <w:vertAlign w:val="superscript"/>
        </w:rPr>
        <w:t>145</w:t>
      </w:r>
      <w:r>
        <w:rPr>
          <w:rFonts w:hint="eastAsia" w:ascii="宋体" w:hAnsi="宋体" w:eastAsia="宋体" w:cs="宋体"/>
          <w:i w:val="0"/>
          <w:iCs w:val="0"/>
          <w:caps w:val="0"/>
          <w:color w:val="333333"/>
          <w:spacing w:val="0"/>
          <w:sz w:val="24"/>
          <w:szCs w:val="24"/>
          <w:bdr w:val="none" w:color="auto" w:sz="0" w:space="0"/>
          <w:shd w:val="clear" w:fill="FFFFFF"/>
        </w:rPr>
        <w:t>创新实践，擦亮“善治·暖邻”品牌，推广“睦邻营治”模式，拓展外来人口参与社会治理的途径和方式。全面落实和执行镇街履行职责事项清单，健全村（社区）工作事项准入制度。推动社会组织规范化建设，深化行业协会商会改革，完善培育发展和综合监管机制。坚持和发展新时代“枫桥经验”</w:t>
      </w:r>
      <w:r>
        <w:rPr>
          <w:rFonts w:hint="eastAsia" w:ascii="宋体" w:hAnsi="宋体" w:eastAsia="宋体" w:cs="宋体"/>
          <w:i w:val="0"/>
          <w:iCs w:val="0"/>
          <w:caps w:val="0"/>
          <w:color w:val="333333"/>
          <w:spacing w:val="0"/>
          <w:sz w:val="15"/>
          <w:szCs w:val="15"/>
          <w:bdr w:val="none" w:color="auto" w:sz="0" w:space="0"/>
          <w:shd w:val="clear" w:fill="FFFFFF"/>
          <w:vertAlign w:val="superscript"/>
        </w:rPr>
        <w:t>146</w:t>
      </w:r>
      <w:r>
        <w:rPr>
          <w:rFonts w:hint="eastAsia" w:ascii="宋体" w:hAnsi="宋体" w:eastAsia="宋体" w:cs="宋体"/>
          <w:i w:val="0"/>
          <w:iCs w:val="0"/>
          <w:caps w:val="0"/>
          <w:color w:val="333333"/>
          <w:spacing w:val="0"/>
          <w:sz w:val="24"/>
          <w:szCs w:val="24"/>
          <w:bdr w:val="none" w:color="auto" w:sz="0" w:space="0"/>
          <w:shd w:val="clear" w:fill="FFFFFF"/>
        </w:rPr>
        <w:t>，完善凝聚服务群众工作机制，健全社会矛盾纠纷多元预防调处化解体系。扎实推进信访工作法治化，探索信访事项“信任调解”机制，打造“信任共同体”。优化重点领域、重点群体社工服务，建强“羊城先锋”、文明实践等志愿服务队伍。加快社会心理服务体系建设。强化市民热线等公共服务平台功能，推动“民有所呼、我有所应”。</w:t>
      </w:r>
    </w:p>
    <w:p w14:paraId="5A29B0D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B3CC37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第十篇  全面增进民生福祉，加快建设幸福广州</w:t>
      </w:r>
    </w:p>
    <w:p w14:paraId="4299A97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51B6A9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把实现好、维护好、发展好最广大人民根本利益作为发展的出发点和落脚点，繁荣发展社会主义文化，推动公共服务体系提质扩容、均衡布局、公平可及，坚持“小切口大变化”持续办好民生实事和民生微实事，让现代化建设成果更多更公平惠及全体市民。</w:t>
      </w:r>
    </w:p>
    <w:p w14:paraId="0EB4E1A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310D198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第二十八章  打造社会主义文化强国城市范例</w:t>
      </w:r>
    </w:p>
    <w:p w14:paraId="49B4D51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0F4E9A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自觉把习近平新时代中国特色社会主义思想作为精神旗帜和行动指南，坚持“两个结合”</w:t>
      </w:r>
      <w:r>
        <w:rPr>
          <w:rFonts w:hint="eastAsia" w:ascii="宋体" w:hAnsi="宋体" w:eastAsia="宋体" w:cs="宋体"/>
          <w:i w:val="0"/>
          <w:iCs w:val="0"/>
          <w:caps w:val="0"/>
          <w:color w:val="333333"/>
          <w:spacing w:val="0"/>
          <w:sz w:val="15"/>
          <w:szCs w:val="15"/>
          <w:bdr w:val="none" w:color="auto" w:sz="0" w:space="0"/>
          <w:shd w:val="clear" w:fill="FFFFFF"/>
          <w:vertAlign w:val="superscript"/>
        </w:rPr>
        <w:t>147</w:t>
      </w:r>
      <w:r>
        <w:rPr>
          <w:rFonts w:hint="eastAsia" w:ascii="宋体" w:hAnsi="宋体" w:eastAsia="宋体" w:cs="宋体"/>
          <w:i w:val="0"/>
          <w:iCs w:val="0"/>
          <w:caps w:val="0"/>
          <w:color w:val="333333"/>
          <w:spacing w:val="0"/>
          <w:sz w:val="24"/>
          <w:szCs w:val="24"/>
          <w:bdr w:val="none" w:color="auto" w:sz="0" w:space="0"/>
          <w:shd w:val="clear" w:fill="FFFFFF"/>
        </w:rPr>
        <w:t>，充分激发文化创新创造活力，发展具有强大思想引领力、精神凝聚力、价值感召力、国际影响力的新时代中国特色社会主义文化，持续打响“四大文化”品牌</w:t>
      </w:r>
      <w:r>
        <w:rPr>
          <w:rFonts w:hint="eastAsia" w:ascii="宋体" w:hAnsi="宋体" w:eastAsia="宋体" w:cs="宋体"/>
          <w:i w:val="0"/>
          <w:iCs w:val="0"/>
          <w:caps w:val="0"/>
          <w:color w:val="333333"/>
          <w:spacing w:val="0"/>
          <w:sz w:val="15"/>
          <w:szCs w:val="15"/>
          <w:bdr w:val="none" w:color="auto" w:sz="0" w:space="0"/>
          <w:shd w:val="clear" w:fill="FFFFFF"/>
          <w:vertAlign w:val="superscript"/>
        </w:rPr>
        <w:t>148</w:t>
      </w:r>
      <w:r>
        <w:rPr>
          <w:rFonts w:hint="eastAsia" w:ascii="宋体" w:hAnsi="宋体" w:eastAsia="宋体" w:cs="宋体"/>
          <w:i w:val="0"/>
          <w:iCs w:val="0"/>
          <w:caps w:val="0"/>
          <w:color w:val="333333"/>
          <w:spacing w:val="0"/>
          <w:sz w:val="24"/>
          <w:szCs w:val="24"/>
          <w:bdr w:val="none" w:color="auto" w:sz="0" w:space="0"/>
          <w:shd w:val="clear" w:fill="FFFFFF"/>
        </w:rPr>
        <w:t>，深入挖掘人文经济潜力，推动城市文化综合实力出新出彩。</w:t>
      </w:r>
    </w:p>
    <w:p w14:paraId="1BE537D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5362A4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凝聚奋进新时代新征程的精神力量</w:t>
      </w:r>
    </w:p>
    <w:p w14:paraId="711395F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33457B2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实施习近平新时代中国特色社会主义思想凝心铸魂工程。深化马克思主义理论研究和建设工程，加强党的创新理论与广州实践的研究阐释，系统构建“老城市新活力”理论体系、话语体系。实施党的创新理论传播工程，深化主流媒体系统性变革，管好用好意识形态阵地，加强网络内容建设管理，营造良好网络文明生态，唱响主旋律，弘扬正能量。建强人文社会科学重点研究基地、青年马克思主义理论人才培养研究基地等平台，擦亮“羊城学堂”“走读广州”等品牌，实施“全球化广州”研究与传播工程，构建具有中国特色、广州特点的哲学社会科学自主知识体系。深化红色文化传承弘扬，以中共三大会址纪念馆、农讲所旧址纪念馆等为重点加强红色文化理论研究和文艺创作，推进中国共产党广州历史陈列工作，打造高水平国防教育基地，擦亮“英雄花开英雄城”红色文化品牌。</w:t>
      </w:r>
    </w:p>
    <w:p w14:paraId="78842C2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塑造新时代广州精神。强化社会主义核心价值观引领，传承弘扬广州敢为人先、开放包容、务实创新的城市文化特质。加强和改进思想政治工作，做好青少年思想政治教育。深入实施公民道德建设工程，选树宣传时代楷模、道德模范、“身边好人”等先进典型，大力弘扬诚信文化、廉洁文化，推进“志愿之城”建设。加快新时代文明实践阵地建设，创建一批全国文明村镇、文明单位、文明校园、文明家庭，推动精神文明建设走在全国前列。</w:t>
      </w:r>
    </w:p>
    <w:p w14:paraId="539E6FC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E26B2B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焕发国家历史文化名城新魅力</w:t>
      </w:r>
    </w:p>
    <w:p w14:paraId="5667D28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7CA3A1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赓续城市千年文脉。推动文化遗产系统性保护，放大永庆坊改造效应，推进“小规模、渐进式”更新，加强历史文化名城、街区、村镇有效保护和活态传承，串联历史节点与现代地标打造珠江活力文化长廊。积极参与中华文明探源工程、考古中国重大项目，加强先秦、南越、南汉文化的挖掘、研究和展示，高质量完成第四次全国文物普查，推进广州市第三轮修志工作，编纂出版《广州大典（民国篇）》等“读懂广州”系列书籍。大力建设岭南文化中心，深入实施岭南文化“双创”工程</w:t>
      </w:r>
      <w:r>
        <w:rPr>
          <w:rFonts w:hint="eastAsia" w:ascii="宋体" w:hAnsi="宋体" w:eastAsia="宋体" w:cs="宋体"/>
          <w:i w:val="0"/>
          <w:iCs w:val="0"/>
          <w:caps w:val="0"/>
          <w:color w:val="333333"/>
          <w:spacing w:val="0"/>
          <w:sz w:val="15"/>
          <w:szCs w:val="15"/>
          <w:bdr w:val="none" w:color="auto" w:sz="0" w:space="0"/>
          <w:shd w:val="clear" w:fill="FFFFFF"/>
          <w:vertAlign w:val="superscript"/>
        </w:rPr>
        <w:t>149</w:t>
      </w:r>
      <w:r>
        <w:rPr>
          <w:rFonts w:hint="eastAsia" w:ascii="宋体" w:hAnsi="宋体" w:eastAsia="宋体" w:cs="宋体"/>
          <w:i w:val="0"/>
          <w:iCs w:val="0"/>
          <w:caps w:val="0"/>
          <w:color w:val="333333"/>
          <w:spacing w:val="0"/>
          <w:sz w:val="24"/>
          <w:szCs w:val="24"/>
          <w:bdr w:val="none" w:color="auto" w:sz="0" w:space="0"/>
          <w:shd w:val="clear" w:fill="FFFFFF"/>
        </w:rPr>
        <w:t>，加强文物古籍保护利用，强化非物质文化遗产系统性保护，加强岭南建筑、语言、饮食、中医药等传承保护，繁荣发展粤剧粤曲、岭南古琴、岭南画派、广东音乐，推进“三雕一彩一绣”</w:t>
      </w:r>
      <w:r>
        <w:rPr>
          <w:rFonts w:hint="eastAsia" w:ascii="宋体" w:hAnsi="宋体" w:eastAsia="宋体" w:cs="宋体"/>
          <w:i w:val="0"/>
          <w:iCs w:val="0"/>
          <w:caps w:val="0"/>
          <w:color w:val="333333"/>
          <w:spacing w:val="0"/>
          <w:sz w:val="15"/>
          <w:szCs w:val="15"/>
          <w:bdr w:val="none" w:color="auto" w:sz="0" w:space="0"/>
          <w:shd w:val="clear" w:fill="FFFFFF"/>
          <w:vertAlign w:val="superscript"/>
        </w:rPr>
        <w:t>150</w:t>
      </w:r>
      <w:r>
        <w:rPr>
          <w:rFonts w:hint="eastAsia" w:ascii="宋体" w:hAnsi="宋体" w:eastAsia="宋体" w:cs="宋体"/>
          <w:i w:val="0"/>
          <w:iCs w:val="0"/>
          <w:caps w:val="0"/>
          <w:color w:val="333333"/>
          <w:spacing w:val="0"/>
          <w:sz w:val="24"/>
          <w:szCs w:val="24"/>
          <w:bdr w:val="none" w:color="auto" w:sz="0" w:space="0"/>
          <w:shd w:val="clear" w:fill="FFFFFF"/>
        </w:rPr>
        <w:t>等传统工艺振兴与技术创新，深入实施名家名匠名师工程，开发内涵深厚、特色鲜明的非遗产品，应用先进技术推动岭南非遗精华形成可体验、可传播、可消费的文化品牌。推进越秀、荔湾等省级文化生态保护区建设。持续推进海上丝绸之路、广州传统中轴线申报世界文化遗产工作。</w:t>
      </w:r>
    </w:p>
    <w:p w14:paraId="36325A7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提升中华文明传播力影响力。深度参与中华文明全球传播工程，深化主流媒体国际传播机制改革创新，擦亮全球市长论坛和广州国际城市创新奖等国际传播IP，培育一批有传播力、影响力的多语种自媒体，打造更具影响力的国际传播平台矩阵。用好全球粤语粤人精神家园优势，推进“魅力广州——文化交流行”等活动，提升城市形象品牌宣传，全力打造“一城二都三中心”城市名片。拓展对外文化交流交往，用好国家对外文化贸易基地、国家文化出口基地等桥梁纽带，深入实施对外文化贸易“千帆出海”行动计划</w:t>
      </w:r>
      <w:r>
        <w:rPr>
          <w:rFonts w:hint="eastAsia" w:ascii="宋体" w:hAnsi="宋体" w:eastAsia="宋体" w:cs="宋体"/>
          <w:i w:val="0"/>
          <w:iCs w:val="0"/>
          <w:caps w:val="0"/>
          <w:color w:val="333333"/>
          <w:spacing w:val="0"/>
          <w:sz w:val="15"/>
          <w:szCs w:val="15"/>
          <w:bdr w:val="none" w:color="auto" w:sz="0" w:space="0"/>
          <w:shd w:val="clear" w:fill="FFFFFF"/>
          <w:vertAlign w:val="superscript"/>
        </w:rPr>
        <w:t>151</w:t>
      </w:r>
      <w:r>
        <w:rPr>
          <w:rFonts w:hint="eastAsia" w:ascii="宋体" w:hAnsi="宋体" w:eastAsia="宋体" w:cs="宋体"/>
          <w:i w:val="0"/>
          <w:iCs w:val="0"/>
          <w:caps w:val="0"/>
          <w:color w:val="333333"/>
          <w:spacing w:val="0"/>
          <w:sz w:val="24"/>
          <w:szCs w:val="24"/>
          <w:bdr w:val="none" w:color="auto" w:sz="0" w:space="0"/>
          <w:shd w:val="clear" w:fill="FFFFFF"/>
        </w:rPr>
        <w:t>。</w:t>
      </w:r>
    </w:p>
    <w:p w14:paraId="285EE7F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9EA1F4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第三节  繁荣发展文化事业和文化产业</w:t>
      </w:r>
    </w:p>
    <w:p w14:paraId="22B9481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07687D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优化公共文化服务供给。建好用好重大文化设施，推动白鹅潭大湾区艺术中心等公共文化设施高水平运营管理，深化公共文化设施社会化运营。加快公共文化共同体建设，补齐城中村、北部山区等地区文化设施短板，推动优质公共文化服务和资源直达基层。坚持以人民为中心创作导向，实施文艺繁荣发展五年计划，推出更多具有艺术高度、本土温度、市场热度的原创文艺精品。深入开展“书香羊城”全民阅读活动，有序推进花城书房等特色阅读空间建设，办好广州读书月、羊城书展等品牌活动，擦亮“中国诗词之城”品牌和“羊城之夏”广州市民文化季、广州艺术季等文化惠民品牌。探索智慧档案发展路径，提升档案资源质量，深化档案数字化转型，持续推进档案开发利用。完善政府向社会购买公共文化服务机制，鼓励社会力量兴建、捐建或合建公共文化设施。</w:t>
      </w:r>
    </w:p>
    <w:p w14:paraId="6BA3C3E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增强文化产业竞争力。深入实施重大文化产业项目带动战略，打造互联网优质内容创作聚集区，推动演艺娱乐、影视传播、新闻出版、文化装备、创意设计等传统文化产业转型升级，发展壮大游戏、电竞、动漫、短剧、音乐等新兴数字文化产业，支持精品动漫游戏产品开发。推动奥林匹克体育中心、大湾区文化体育中心、天河体育中心、广州体育馆、黄埔国际体育演艺中心及周边打造文化赛事演艺示范区，打造一批新型演艺空间，引进国内外高水平演出剧目，培育更多“广州首演”“广州首发”品牌，建设国际演艺中心城市。推动“人工智能+文化”融合发展，鼓励开发文化大模型，加速形成应用型示范项目。推动数智赋能文化装备，培育一批国内领先的数字文化领军企业。做好全运会“后半篇文章”，用好十五运会IP激活文化产品生命力。鼓励各类文博单位推出更多文创精品，提升“广州礼物”“广府文创”等影响力。推动短剧创作繁荣发展，培育一批具有影响力的穗产好剧。推动各类文化产业园区提质增效，举办华语纪录电影大会，提升广州艺术季、广州文化产业交易会、中国国际漫画节、中国数字文娱大会、广州电影产业博览交易会等重大节展影响力。加大文化领域企事业单位改革改制力度，培育壮大文化龙头企业。深化文化领域行政审批备案制度改革，营造适应文化新业态发展的监管环境。</w:t>
      </w:r>
    </w:p>
    <w:p w14:paraId="0B51D74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27442D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第四节  提升体育强市影响力</w:t>
      </w:r>
    </w:p>
    <w:p w14:paraId="3774174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2D56E0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做大做强体育产业。加快建设国际体育赛事中心，高水平办好广州马拉松赛、广州国际龙舟邀请赛、广州国际女子网球公开赛等重大体育赛事，争取申办“三大球”、“三小球”、赛马、赛车等领域国际级、国家级赛事，积极培育引进高水平电子竞技、无人机竞速、新能源赛车等新兴赛事。深入推进国家体育消费和赛事经济试点城市建设，培育山地户外、水上运动、航空运动、冰雪运动、马术运动、汽车主题运动等新型运动休闲消费场景，创新发展赛事经济，谋划打造一批具有影响力的特色赛事品牌，促进文旅体居商融合发展，推出“广马游”“龙舟游”等特色产品，办好体育消费季、体育文化节。巩固提升运动服装、球类运动装备、户外装备等制造领域优势，推动向智能制造方向转型。大力发展健身休闲、竞赛表演、体育培训、体育传媒等服务业态。积极培育“体育+科技”“体育+人工智能”等新业态。支持体育产业龙头企业做大做强，吸引国内外体育企业总部、行业协会、社会组织等落户。高质量建设全国足球发展重点城市，推进全国青少年足球人才培养改革试点，创新发展足球运动。优化竞技体育项目布局，做大做强田径、游泳两个大项，持续发展羽毛球、跳水、体操、击剑等传统优势项目，培育冰球、花样滑冰、滑板、街舞、电子竞技等新兴体育项目优势，全面提升综合竞技水平。</w:t>
      </w:r>
    </w:p>
    <w:p w14:paraId="7B0855D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构建高水平全民健身公共服务体系。加强群众身边的场地设施布局建设，结合城市更新补齐全民健身设施短板，加强社区体育设施配套，积极推广嵌入式体育设施，构建“处处可健身”的高品质运动空间。推进运动健身场所全龄友好化提升改造，加快健身设施智能化改造，加大体育场馆惠民开放力度，鼓励学校适时适度开放运动场地，提高体育设施管理和使用效率。积极发展群众体育，推动体卫深度融合，广泛开展全民健身活动，强化青少年健身普及，持续提升“市长杯”“户外运动节”等品牌影响力，营造人人参与体育运动的良好氛围，经常参加体育锻炼人数比例达40%。加强山地、水上、陆地、航空等户外运动场地设施建设，打造设施完善、服务优质、赛事丰富、国际知名的高质量户外运动目的地。</w:t>
      </w:r>
    </w:p>
    <w:p w14:paraId="05E045D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97F797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第二十九章  推动人口高质量发展</w:t>
      </w:r>
    </w:p>
    <w:p w14:paraId="664BADA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A5F516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积极适应人口发展新常态，加快构建覆盖全人群、全生命周期的人口服务体系，办好人民满意的教育，打造更高水平健康广州，有效支撑人口素质全面提升和结构持续优化。</w:t>
      </w:r>
    </w:p>
    <w:p w14:paraId="32A2FA5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5F34ED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健全人口服务体系</w:t>
      </w:r>
    </w:p>
    <w:p w14:paraId="6368F7F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1737332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提高超大城市人口服务管理水平。强化人口发展战略研究，持续完善人口公共政策体系，推动人口工作向提升素质、优化结构、稳定总量、畅通流动转变。稳步推进农业转移人口市民化，促进有能力在城镇稳定就业和生活的常住人口有序实现市民化。优化基本公共服务供给方式，健全与常住人口结构相匹配的基本公共服务供给机制，动态调整服务项目和标准。合理调控人口规模与密度，引导中心城区人口有序疏解，增强外围城区人口承载能力，促进城市空间与人口分布协同优化。</w:t>
      </w:r>
    </w:p>
    <w:p w14:paraId="5D0E265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建设婚育友好型城市。深耕“花城有爱”“花城有囍”品牌内涵，推进婚姻登记“全国通办”服务提质增效。构建新型婚育文化，倡导尊重生育的社会价值，培养文明向上的婚俗文化。加强婚姻家庭辅导服务，协同专业力量提供全周期婚姻家庭指导支持服务，预防和化解婚姻家庭矛盾纠纷。完善积极生育支持政策体系，强化激励导向，有效发挥育儿补贴、税收优惠、生育休假等政策效能，切实降低家庭生育、养育、教育成本。加强生殖健康服务，规范有序推进辅助生殖技术应用，提升助产机构服务水平。深入实施早孕关爱行动、孕育和出生缺陷防治能力提升计划，婴儿死亡率、孕产妇死亡率分别不超过2.8‰、7.5/10万。建立完善科普体系，多渠道普及科学育儿知识与技能。构建“12890”托育综合服务网络</w:t>
      </w:r>
      <w:r>
        <w:rPr>
          <w:rFonts w:hint="eastAsia" w:ascii="宋体" w:hAnsi="宋体" w:eastAsia="宋体" w:cs="宋体"/>
          <w:i w:val="0"/>
          <w:iCs w:val="0"/>
          <w:caps w:val="0"/>
          <w:color w:val="333333"/>
          <w:spacing w:val="0"/>
          <w:sz w:val="15"/>
          <w:szCs w:val="15"/>
          <w:bdr w:val="none" w:color="auto" w:sz="0" w:space="0"/>
          <w:shd w:val="clear" w:fill="FFFFFF"/>
          <w:vertAlign w:val="superscript"/>
        </w:rPr>
        <w:t>152</w:t>
      </w:r>
      <w:r>
        <w:rPr>
          <w:rFonts w:hint="eastAsia" w:ascii="宋体" w:hAnsi="宋体" w:eastAsia="宋体" w:cs="宋体"/>
          <w:i w:val="0"/>
          <w:iCs w:val="0"/>
          <w:caps w:val="0"/>
          <w:color w:val="333333"/>
          <w:spacing w:val="0"/>
          <w:sz w:val="24"/>
          <w:szCs w:val="24"/>
          <w:bdr w:val="none" w:color="auto" w:sz="0" w:space="0"/>
          <w:shd w:val="clear" w:fill="FFFFFF"/>
        </w:rPr>
        <w:t>，加强公办托位供给，支持有条件的幼儿园发展托幼一体化服务，招收2—3岁幼儿，支持社会力量提供多元化普惠托育服务，发展用人单位办托、社区嵌入式托育和家庭托育点等多种模式，完善普惠托育服务价格形成机制，实施托育服务质量提升行动，提高托育服务安全性和规范性，实现从“幼有所育”到“幼有善育”全面提升。普惠托位数量达9万个，普惠托位占比不低于75%。完善家庭支持政策体系，建立健全以家庭为单位的服务激励机制，在教育、儿童医疗、住房保障、就业支持、家庭照护等方面给予多孩家庭更多支持，加大产后妇女稳岗支持力度，鼓励用人单位对3岁以下婴幼儿父母职工实行弹性工作制度，建设家庭友好型城市。健全覆盖城乡的妇女儿童健康服务网络，优化孕产妇和新生儿危重症救治体系，加强生育友好医院与儿童友好医院建设。</w:t>
      </w:r>
    </w:p>
    <w:p w14:paraId="0773C71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建设青年发展型城市。实施青年英才开发计划，培养青年拔尖人才、创新领军人才、特色专业人才。加强对青年创新创业的政策支持，增强青年职业发展能力，建设广州青年就业创业孵化基地、“青创汇”广州青年就业创业综合服务平台、青年创新创业示范园区等载体。服务青年人住房需求，支持建设功能齐全、灵活多样、现代时尚的低成本租赁住房、人才公寓等。鼓励在南沙科学城、中新广州知识城、广州科学城等科技创新重点功能片区和青年人才集聚度高的园区社区，打造24小时青年创新生态社区。拓宽青年国际交往渠道，培养一批高素质、国际化、创新型青年人才。</w:t>
      </w:r>
    </w:p>
    <w:p w14:paraId="37D6212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建设老年友好型城市。实施积极应对人口老龄化国家战略，持续深化“大城市大养老”模式，提升“广式养老”品牌。提升基本养老服务供给体系，健全覆盖城乡的四级养老服务网络。优化居家、社区、机构三类养老服务形态，优化家庭养老床位服务机制，推进居家适老化改造，发展社区嵌入式养老服务，培育专业化、品牌化、连锁化社区养老服务机构，增加普惠性养老服务供给。深化养老服务改革发展，有序推进养老机构分类改革。发展互助养老服务。营造宜居适老环境，加强公共设施适老化和无障碍改造，深入开展“智慧助老”行动，推动涉老高频事项便捷办理和服务场景简便易用，发展综合为老服务，推进老年友好型社会建设。持续推进老年医学科、老年友善医疗机构建设，完善康复护理、长期照护、安宁疗护</w:t>
      </w:r>
      <w:r>
        <w:rPr>
          <w:rFonts w:hint="eastAsia" w:ascii="宋体" w:hAnsi="宋体" w:eastAsia="宋体" w:cs="宋体"/>
          <w:i w:val="0"/>
          <w:iCs w:val="0"/>
          <w:caps w:val="0"/>
          <w:color w:val="333333"/>
          <w:spacing w:val="0"/>
          <w:sz w:val="15"/>
          <w:szCs w:val="15"/>
          <w:bdr w:val="none" w:color="auto" w:sz="0" w:space="0"/>
          <w:shd w:val="clear" w:fill="FFFFFF"/>
          <w:vertAlign w:val="superscript"/>
        </w:rPr>
        <w:t>153</w:t>
      </w:r>
      <w:r>
        <w:rPr>
          <w:rFonts w:hint="eastAsia" w:ascii="宋体" w:hAnsi="宋体" w:eastAsia="宋体" w:cs="宋体"/>
          <w:i w:val="0"/>
          <w:iCs w:val="0"/>
          <w:caps w:val="0"/>
          <w:color w:val="333333"/>
          <w:spacing w:val="0"/>
          <w:sz w:val="24"/>
          <w:szCs w:val="24"/>
          <w:bdr w:val="none" w:color="auto" w:sz="0" w:space="0"/>
          <w:shd w:val="clear" w:fill="FFFFFF"/>
        </w:rPr>
        <w:t>等老年健康服务体系，推动老年期痴呆等老年病早发现、早诊断、早治疗，深化医养结合</w:t>
      </w:r>
      <w:r>
        <w:rPr>
          <w:rFonts w:hint="eastAsia" w:ascii="宋体" w:hAnsi="宋体" w:eastAsia="宋体" w:cs="宋体"/>
          <w:i w:val="0"/>
          <w:iCs w:val="0"/>
          <w:caps w:val="0"/>
          <w:color w:val="333333"/>
          <w:spacing w:val="0"/>
          <w:sz w:val="15"/>
          <w:szCs w:val="15"/>
          <w:bdr w:val="none" w:color="auto" w:sz="0" w:space="0"/>
          <w:shd w:val="clear" w:fill="FFFFFF"/>
          <w:vertAlign w:val="superscript"/>
        </w:rPr>
        <w:t>154</w:t>
      </w:r>
      <w:r>
        <w:rPr>
          <w:rFonts w:hint="eastAsia" w:ascii="宋体" w:hAnsi="宋体" w:eastAsia="宋体" w:cs="宋体"/>
          <w:i w:val="0"/>
          <w:iCs w:val="0"/>
          <w:caps w:val="0"/>
          <w:color w:val="333333"/>
          <w:spacing w:val="0"/>
          <w:sz w:val="24"/>
          <w:szCs w:val="24"/>
          <w:bdr w:val="none" w:color="auto" w:sz="0" w:space="0"/>
          <w:shd w:val="clear" w:fill="FFFFFF"/>
        </w:rPr>
        <w:t>，健全失能失智老年人照护体系，巩固养老机构护理型床位供给，发展医养结合服务。推行长期护理保险制度，健全统一的老年人照护需求综合评估制度。推进养老服务人员队伍职业化建设，提升养老服务综合监管质效。加强高龄独居老人和空巢老人关爱帮扶。升级广州市为老服务综合平台，打造养老服务集约商城。培育壮大银发经济新动能，加强护理机器人、可穿戴设备、智能家居等适老智能产品研发推广，拓展养老金融、抗衰老等新赛道，建设全省养老金融示范样板，完善银发经济统计。规划建设若干个特色产业园区，鼓励建设适老生活体验展销中心，办好中国（广州）国际养老健康产业博览会、中国国际老龄产业博览会。深化跨境养老合作，推进南沙跨境养老服务业标准化试点。深入开展“银龄行动”</w:t>
      </w:r>
      <w:r>
        <w:rPr>
          <w:rFonts w:hint="eastAsia" w:ascii="宋体" w:hAnsi="宋体" w:eastAsia="宋体" w:cs="宋体"/>
          <w:i w:val="0"/>
          <w:iCs w:val="0"/>
          <w:caps w:val="0"/>
          <w:color w:val="333333"/>
          <w:spacing w:val="0"/>
          <w:sz w:val="15"/>
          <w:szCs w:val="15"/>
          <w:bdr w:val="none" w:color="auto" w:sz="0" w:space="0"/>
          <w:shd w:val="clear" w:fill="FFFFFF"/>
          <w:vertAlign w:val="superscript"/>
        </w:rPr>
        <w:t>155</w:t>
      </w:r>
      <w:r>
        <w:rPr>
          <w:rFonts w:hint="eastAsia" w:ascii="宋体" w:hAnsi="宋体" w:eastAsia="宋体" w:cs="宋体"/>
          <w:i w:val="0"/>
          <w:iCs w:val="0"/>
          <w:caps w:val="0"/>
          <w:color w:val="333333"/>
          <w:spacing w:val="0"/>
          <w:sz w:val="24"/>
          <w:szCs w:val="24"/>
          <w:bdr w:val="none" w:color="auto" w:sz="0" w:space="0"/>
          <w:shd w:val="clear" w:fill="FFFFFF"/>
        </w:rPr>
        <w:t>，积极开发老年人力资源，稳妥实施渐进式延迟法定退休年龄，优化就业、社保等方面年龄限制政策。推进老有所学，扩大老年教育资源供给，持续办好国家老年大学广州分部，完善老年教育支持服务体系，满足老年人精神文化需求。强化老年人优待和权益保障。</w:t>
      </w:r>
    </w:p>
    <w:p w14:paraId="78B455A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03DF4E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办好人民满意的教育</w:t>
      </w:r>
    </w:p>
    <w:p w14:paraId="2B1E9C7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439453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促进基础教育扩优提质。健全与人口变化相适应的基础教育资源统筹调配机制，采取新建、改扩建、学段贯通等方式，统筹解决基础教育学段学龄人口错位达峰问题。推进学前教育优质普惠发展、义务教育优质均衡发展，完成全域国家学前教育普及普惠区、义务教育优质均衡发展区建设，深化集团化办学</w:t>
      </w:r>
      <w:r>
        <w:rPr>
          <w:rFonts w:hint="eastAsia" w:ascii="宋体" w:hAnsi="宋体" w:eastAsia="宋体" w:cs="宋体"/>
          <w:i w:val="0"/>
          <w:iCs w:val="0"/>
          <w:caps w:val="0"/>
          <w:color w:val="333333"/>
          <w:spacing w:val="0"/>
          <w:sz w:val="15"/>
          <w:szCs w:val="15"/>
          <w:bdr w:val="none" w:color="auto" w:sz="0" w:space="0"/>
          <w:shd w:val="clear" w:fill="FFFFFF"/>
          <w:vertAlign w:val="superscript"/>
        </w:rPr>
        <w:t>156</w:t>
      </w:r>
      <w:r>
        <w:rPr>
          <w:rFonts w:hint="eastAsia" w:ascii="宋体" w:hAnsi="宋体" w:eastAsia="宋体" w:cs="宋体"/>
          <w:i w:val="0"/>
          <w:iCs w:val="0"/>
          <w:caps w:val="0"/>
          <w:color w:val="333333"/>
          <w:spacing w:val="0"/>
          <w:sz w:val="24"/>
          <w:szCs w:val="24"/>
          <w:bdr w:val="none" w:color="auto" w:sz="0" w:space="0"/>
          <w:shd w:val="clear" w:fill="FFFFFF"/>
        </w:rPr>
        <w:t>，支持相对薄弱学校补短提升，实施普通高中渡峰扩优计划</w:t>
      </w:r>
      <w:r>
        <w:rPr>
          <w:rFonts w:hint="eastAsia" w:ascii="宋体" w:hAnsi="宋体" w:eastAsia="宋体" w:cs="宋体"/>
          <w:i w:val="0"/>
          <w:iCs w:val="0"/>
          <w:caps w:val="0"/>
          <w:color w:val="333333"/>
          <w:spacing w:val="0"/>
          <w:sz w:val="15"/>
          <w:szCs w:val="15"/>
          <w:bdr w:val="none" w:color="auto" w:sz="0" w:space="0"/>
          <w:shd w:val="clear" w:fill="FFFFFF"/>
          <w:vertAlign w:val="superscript"/>
        </w:rPr>
        <w:t>157</w:t>
      </w:r>
      <w:r>
        <w:rPr>
          <w:rFonts w:hint="eastAsia" w:ascii="宋体" w:hAnsi="宋体" w:eastAsia="宋体" w:cs="宋体"/>
          <w:i w:val="0"/>
          <w:iCs w:val="0"/>
          <w:caps w:val="0"/>
          <w:color w:val="333333"/>
          <w:spacing w:val="0"/>
          <w:sz w:val="24"/>
          <w:szCs w:val="24"/>
          <w:bdr w:val="none" w:color="auto" w:sz="0" w:space="0"/>
          <w:shd w:val="clear" w:fill="FFFFFF"/>
        </w:rPr>
        <w:t>，推动优质教育资源向外围城区布局，引导高中阶段学校多样化特色发展。加大特殊教育、专门教育保障力度。按上级部署稳步扩大免费教育范围，探索延长义务教育年限。有序推进中考改革，扩大优质高中招生指标到校比例。统筹推进“双减”和教育教学质量提升。健全学校家庭社会协同育人机制，推动“教联体”</w:t>
      </w:r>
      <w:r>
        <w:rPr>
          <w:rFonts w:hint="eastAsia" w:ascii="宋体" w:hAnsi="宋体" w:eastAsia="宋体" w:cs="宋体"/>
          <w:i w:val="0"/>
          <w:iCs w:val="0"/>
          <w:caps w:val="0"/>
          <w:color w:val="333333"/>
          <w:spacing w:val="0"/>
          <w:sz w:val="15"/>
          <w:szCs w:val="15"/>
          <w:bdr w:val="none" w:color="auto" w:sz="0" w:space="0"/>
          <w:shd w:val="clear" w:fill="FFFFFF"/>
          <w:vertAlign w:val="superscript"/>
        </w:rPr>
        <w:t>158</w:t>
      </w:r>
      <w:r>
        <w:rPr>
          <w:rFonts w:hint="eastAsia" w:ascii="宋体" w:hAnsi="宋体" w:eastAsia="宋体" w:cs="宋体"/>
          <w:i w:val="0"/>
          <w:iCs w:val="0"/>
          <w:caps w:val="0"/>
          <w:color w:val="333333"/>
          <w:spacing w:val="0"/>
          <w:sz w:val="24"/>
          <w:szCs w:val="24"/>
          <w:bdr w:val="none" w:color="auto" w:sz="0" w:space="0"/>
          <w:shd w:val="clear" w:fill="FFFFFF"/>
        </w:rPr>
        <w:t>建设学校全覆盖，加强儿童友好学校建设。</w:t>
      </w:r>
    </w:p>
    <w:p w14:paraId="20028B7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促进高等教育高水平特色发展。优化高等教育资源布局，构建省部属、市属高校协同发展新格局。按照研究型、应用型、技能型等基本办学定位，分类推进高校改革发展。支持广州大学建设综合性一流创新型大学，支持广州医科大学建设“双一流”高校和高水平医科大学，支持广州航海学院建设高水平应用型大学，支持香港科技大学（广州）建设世界一流研究型大学。以理工农医类专业为主有序扩大优质本科教育招生规模和研究生培养规模，稳步提高本科招生比例和研究生教育层次占高等教育在校生比例。大力发展专业学位研究生教育，提高工程硕博士比重。推动在穗高校深化合作，支持在穗高校“双一流”建设，共建高水平学科、共享科研平台、共育拔尖人才。围绕重点产业与学科前沿，加快布局建设一批优势学科，支持市属高校新增3—5个基本科学指标数据库（ESI）全球前1%学科，力争实现ESI全球前1‰学科新的突破。推动市属高校建设卓越工程师学院和现代产业学院，深度参与重大科技基础设施与国际合作科研平台建设。</w:t>
      </w:r>
    </w:p>
    <w:p w14:paraId="778699A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建设现代职业教育体系。以广州科教城为核心载体，强化资源集成与机制创新，加快构建与广州产业结构升级需求高度匹配的现代职业教育布局。推动建设新一轮“双高计划”建设单位2个，进一步建好一批省域高水平高职院校和省高水平中职学校，打造一批全国职教标杆。支持广州职业技术大学深化内涵建设，推动广州铁路职业技术学院、广州城市职业学院等优质高职院校申办职业本科，拓展中本贯通、中高企协同长学制</w:t>
      </w:r>
      <w:r>
        <w:rPr>
          <w:rFonts w:hint="eastAsia" w:ascii="宋体" w:hAnsi="宋体" w:eastAsia="宋体" w:cs="宋体"/>
          <w:i w:val="0"/>
          <w:iCs w:val="0"/>
          <w:caps w:val="0"/>
          <w:color w:val="333333"/>
          <w:spacing w:val="0"/>
          <w:sz w:val="15"/>
          <w:szCs w:val="15"/>
          <w:bdr w:val="none" w:color="auto" w:sz="0" w:space="0"/>
          <w:shd w:val="clear" w:fill="FFFFFF"/>
          <w:vertAlign w:val="superscript"/>
        </w:rPr>
        <w:t>159</w:t>
      </w:r>
      <w:r>
        <w:rPr>
          <w:rFonts w:hint="eastAsia" w:ascii="宋体" w:hAnsi="宋体" w:eastAsia="宋体" w:cs="宋体"/>
          <w:i w:val="0"/>
          <w:iCs w:val="0"/>
          <w:caps w:val="0"/>
          <w:color w:val="333333"/>
          <w:spacing w:val="0"/>
          <w:sz w:val="24"/>
          <w:szCs w:val="24"/>
          <w:bdr w:val="none" w:color="auto" w:sz="0" w:space="0"/>
          <w:shd w:val="clear" w:fill="FFFFFF"/>
        </w:rPr>
        <w:t>等贯通培养试点，深化职普融通改革。深化市域产教联合体与行业产教融合共同体建设，完善政校行企协同机制，建设开放型区域产教融合实践中心和公共实训基地，为广州推进现代化产业体系建设持续输送高素质技术技能人才。</w:t>
      </w:r>
    </w:p>
    <w:p w14:paraId="63F0442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深化教育综合改革。深入实施新时代立德树人工程，实施中小学生“阳光成长”计划，创新德智体美劳“五育并举”过程性评价实施办法。深化大中小学思政课一体化建设，加强科学、体育、艺术、心理健康和生命安全教育。建设高素质专业化教师队伍，实施教育家精神铸魂强师行动，健全教育、宣传、考核、监督、奖惩“五位一体”的师德师风建设长效机制，深化“师德涵养+”行动计划，全面提升教师教书育人能力。健全跨学段师资动态调配和融通培养机制，强化教师跨学科教学能力。加大优秀校长、骨干教师交流轮岗力度。</w:t>
      </w:r>
    </w:p>
    <w:tbl>
      <w:tblPr>
        <w:tblW w:w="88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549"/>
        <w:gridCol w:w="8301"/>
      </w:tblGrid>
      <w:tr w14:paraId="4A7B3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rPr>
        <w:tc>
          <w:tcPr>
            <w:tcW w:w="11239"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3568C54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Style w:val="6"/>
                <w:rFonts w:hint="eastAsia" w:ascii="宋体" w:hAnsi="宋体" w:eastAsia="宋体" w:cs="宋体"/>
                <w:i w:val="0"/>
                <w:iCs w:val="0"/>
                <w:caps w:val="0"/>
                <w:color w:val="333333"/>
                <w:spacing w:val="0"/>
                <w:sz w:val="24"/>
                <w:szCs w:val="24"/>
                <w:bdr w:val="none" w:color="auto" w:sz="0" w:space="0"/>
              </w:rPr>
              <w:t>专栏11  教育事业提质升级行动</w:t>
            </w:r>
          </w:p>
        </w:tc>
      </w:tr>
      <w:tr w14:paraId="4912E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rPr>
        <w:tc>
          <w:tcPr>
            <w:tcW w:w="61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642AD50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01</w:t>
            </w:r>
          </w:p>
        </w:tc>
        <w:tc>
          <w:tcPr>
            <w:tcW w:w="825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DA8621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基础教育</w:t>
            </w:r>
          </w:p>
          <w:p w14:paraId="69AD09A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实施普通高中渡峰扩优计划。</w:t>
            </w:r>
          </w:p>
        </w:tc>
      </w:tr>
      <w:tr w14:paraId="53140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rPr>
        <w:tc>
          <w:tcPr>
            <w:tcW w:w="61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3034C67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02</w:t>
            </w:r>
          </w:p>
        </w:tc>
        <w:tc>
          <w:tcPr>
            <w:tcW w:w="825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D32D5D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高等教育</w:t>
            </w:r>
          </w:p>
          <w:p w14:paraId="1CFCC47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建设香港科技大学（广州）二期等项目，规划实施广州医科大学、广州大学等市属高校提升工程。</w:t>
            </w:r>
          </w:p>
        </w:tc>
      </w:tr>
      <w:tr w14:paraId="66BC9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1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137B82A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03</w:t>
            </w:r>
          </w:p>
        </w:tc>
        <w:tc>
          <w:tcPr>
            <w:tcW w:w="825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473730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职业教育</w:t>
            </w:r>
          </w:p>
          <w:p w14:paraId="355A4CC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建设广州科技教育城一期、广州职业技术大学东区综合楼、广州卫生职业技术学院从化校区改扩建、广州地铁综合实训基地等项目。</w:t>
            </w:r>
          </w:p>
        </w:tc>
      </w:tr>
      <w:tr w14:paraId="6D728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1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137AC1A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04</w:t>
            </w:r>
          </w:p>
        </w:tc>
        <w:tc>
          <w:tcPr>
            <w:tcW w:w="825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C54539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特殊教育</w:t>
            </w:r>
          </w:p>
          <w:p w14:paraId="1C3FB80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建设广州市康纳学校（广州儿童孤独症康复研究中心）等项目。</w:t>
            </w:r>
          </w:p>
        </w:tc>
      </w:tr>
      <w:tr w14:paraId="764A4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1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537E0EE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05</w:t>
            </w:r>
          </w:p>
        </w:tc>
        <w:tc>
          <w:tcPr>
            <w:tcW w:w="825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5D0389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专门教育</w:t>
            </w:r>
          </w:p>
          <w:p w14:paraId="634B225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建设广州市启新学校花山校区二期改造等项目。</w:t>
            </w:r>
          </w:p>
        </w:tc>
      </w:tr>
    </w:tbl>
    <w:p w14:paraId="1916AA7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F89123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第三节  打造高效优质健康医疗高地</w:t>
      </w:r>
    </w:p>
    <w:p w14:paraId="21DE48B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rPr>
          <w:rFonts w:hint="eastAsia" w:ascii="宋体" w:hAnsi="宋体" w:eastAsia="宋体" w:cs="宋体"/>
          <w:i w:val="0"/>
          <w:iCs w:val="0"/>
          <w:caps w:val="0"/>
          <w:color w:val="333333"/>
          <w:spacing w:val="0"/>
          <w:sz w:val="24"/>
          <w:szCs w:val="24"/>
        </w:rPr>
      </w:pPr>
    </w:p>
    <w:p w14:paraId="54F5EC8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提升医疗中心地位。巩固提升国家中心城市医疗功能，构建顶尖引领、百强支撑的高水平医院体系，推动广州医疗服务从“区域领先”向“全球辐射”升级。提升国家医学中心辐射带动功能，积极创建重点领域国家医学中心。积极争取国家重点实验室等重大平台布局建设，强化高水平医院临床诊疗、科研转化与人才培育一体化功能，加快建设研究型医院。实施“临床专科领航计划”，巩固提升呼吸、肿瘤、眼科、儿科等专科优势，培育壮大肾脏、血液、精神等优势专科，塑造国际一流专科品牌。布局建设临床医学研究所和重大疑难罕见病诊疗中心，打造具有国际影响力的危重疑难病症诊疗中心。探索开展国际医疗服务，培育具有影响力的国际医疗服务品牌。深化医疗领域制度型开放，推动医疗、保险、旅游融合发展，构建与国际接轨的医疗服务体系。联动港澳优质医疗资源，加速国际先进药械临床应用转化，完善区域医疗资源协同与成果转化共享机制。</w:t>
      </w:r>
    </w:p>
    <w:p w14:paraId="74743B1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构建多元互补的医疗服务供给格局。深化以公益性为导向的公立医院编制、薪酬、医疗服务收费机制和综合监管改革，建立以医疗服务为主导的收费机制，完善药耗集中带量采购与供应保障制度，促进医疗、医保、医药协同发展和治理。强化分级诊疗体系建设，以紧密型城市医疗集团</w:t>
      </w:r>
      <w:r>
        <w:rPr>
          <w:rFonts w:hint="eastAsia" w:ascii="宋体" w:hAnsi="宋体" w:eastAsia="宋体" w:cs="宋体"/>
          <w:i w:val="0"/>
          <w:iCs w:val="0"/>
          <w:caps w:val="0"/>
          <w:color w:val="333333"/>
          <w:spacing w:val="0"/>
          <w:sz w:val="15"/>
          <w:szCs w:val="15"/>
          <w:bdr w:val="none" w:color="auto" w:sz="0" w:space="0"/>
          <w:shd w:val="clear" w:fill="FFFFFF"/>
          <w:vertAlign w:val="superscript"/>
        </w:rPr>
        <w:t>160</w:t>
      </w:r>
      <w:r>
        <w:rPr>
          <w:rFonts w:hint="eastAsia" w:ascii="宋体" w:hAnsi="宋体" w:eastAsia="宋体" w:cs="宋体"/>
          <w:i w:val="0"/>
          <w:iCs w:val="0"/>
          <w:caps w:val="0"/>
          <w:color w:val="333333"/>
          <w:spacing w:val="0"/>
          <w:sz w:val="24"/>
          <w:szCs w:val="24"/>
          <w:bdr w:val="none" w:color="auto" w:sz="0" w:space="0"/>
          <w:shd w:val="clear" w:fill="FFFFFF"/>
        </w:rPr>
        <w:t>为载体，提升连续性和一体化服务水平。引导规范社会办医发展，支持外商独资医疗机构发展。实施卫生健康数字化、智能化攻坚行动，推进人工智能在医疗卫生领域的应用，构建覆盖全民、贯通全域、共享便捷的一体化健康服务平台。</w:t>
      </w:r>
    </w:p>
    <w:p w14:paraId="19E0889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夯实基层医疗卫生服务。实施医疗卫生强基工程，促进优质医疗资源延伸下沉和区域均衡布局。优化基层医疗卫生机构功能布局，全面建设“15分钟健康服务圈”。推进省级基层卫生健康高质量发展综合试验区建设，深化“紧密型镇村卫生服务一体化管理”，实现村卫生站全覆盖。支持符合条件的社区卫生服务中心和镇卫生院增设康复护理、安宁疗护等床位。引导二级及以上医疗机构医师（含退休临床医师）参与家庭医生签约服务。</w:t>
      </w:r>
    </w:p>
    <w:p w14:paraId="1ED6F97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健全超大城市公共卫生体系。持续优化疾控体系，推进省级区域公共卫生中心和基层疾控机构能力建设，提升区域公共卫生水平。构建统一高效的大应急指挥体系，加快市紧急医学救援指挥中心建设，加强卫生应急队伍规范化建设与管理，提升实战能力，推动航空医疗救援体系发展，提升传染病防控、急诊急救、血液保障和综合应急响应能力。强化职业健康保护，完善心理健康和精神卫生服务，提升12356心理援助热线服务质量。加强慢性病综合防控，发展防治康管全链条服务，健全早筛早诊早治体系，重大慢性病过早死亡率不超过9%。推动国家慢性病综合防控示范区建设。</w:t>
      </w:r>
    </w:p>
    <w:p w14:paraId="00B3A0C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打造中医医疗创新高地。以中医类国家医学中心为引领，推动中医药传承创新发展示范项目建设，促进优质中医医疗资源扩容和均衡布局。深入实施岭南医学传承与国医大师培育工程，加强中西医结合人才队伍建设，建设高水平中医药重点学科。实施中医药健康促进行动，推进中医治未病健康工程升级，强化特色康复服务能力，建设中西医融合康复病房。增强中医药科研创新能力，实施“名方名剂工程”，加快医疗机构中药制剂研发与临床应用，实施岭南中医药和中医院内制剂标准提升行动计划，开展中药质量评价方法创新研究，推动中药制剂向新药转化。提升岭南中医药国际影响力，促进中医药与健康养老、文化旅游等融合发展，培育中医药新业态。</w:t>
      </w:r>
    </w:p>
    <w:tbl>
      <w:tblPr>
        <w:tblW w:w="90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551"/>
        <w:gridCol w:w="8464"/>
      </w:tblGrid>
      <w:tr w14:paraId="444B9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11239"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94233F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Style w:val="6"/>
                <w:rFonts w:hint="eastAsia" w:ascii="宋体" w:hAnsi="宋体" w:eastAsia="宋体" w:cs="宋体"/>
                <w:i w:val="0"/>
                <w:iCs w:val="0"/>
                <w:caps w:val="0"/>
                <w:color w:val="333333"/>
                <w:spacing w:val="0"/>
                <w:sz w:val="24"/>
                <w:szCs w:val="24"/>
                <w:bdr w:val="none" w:color="auto" w:sz="0" w:space="0"/>
              </w:rPr>
              <w:t>专栏12  医疗机构优质均衡布局行动</w:t>
            </w:r>
          </w:p>
        </w:tc>
      </w:tr>
      <w:tr w14:paraId="152BD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1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65CFCD3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01</w:t>
            </w:r>
          </w:p>
        </w:tc>
        <w:tc>
          <w:tcPr>
            <w:tcW w:w="840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5FD9FDE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综合医院</w:t>
            </w:r>
          </w:p>
          <w:p w14:paraId="1F1C309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建设中山大学附属第一医院国家医学中心、广东省国家重大传染病防治基地（国际呼吸医学中心）、广州南部应急医疗中心、广州市第一人民医院整体扩建、广州白云鹏瑞利医院升级改造等项目。</w:t>
            </w:r>
          </w:p>
        </w:tc>
      </w:tr>
      <w:tr w14:paraId="4746F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1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7ACC01C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02</w:t>
            </w:r>
          </w:p>
        </w:tc>
        <w:tc>
          <w:tcPr>
            <w:tcW w:w="840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2444734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专科医院</w:t>
            </w:r>
          </w:p>
          <w:p w14:paraId="7F99B0A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建设中山大学肿瘤医学科学中心（天河院区）、广州市第八人民医院三期、广州市惠爱医院芳村院区提升改造、广州肾脏病医学中心、广州医科大学附属第五医院扩建等项目。</w:t>
            </w:r>
          </w:p>
        </w:tc>
      </w:tr>
      <w:tr w14:paraId="4BF3B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1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2814EA4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03</w:t>
            </w:r>
          </w:p>
        </w:tc>
        <w:tc>
          <w:tcPr>
            <w:tcW w:w="840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A1DB26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中医医院</w:t>
            </w:r>
          </w:p>
          <w:p w14:paraId="446CA29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建设广东省中医院国家医学中心等项目。</w:t>
            </w:r>
          </w:p>
        </w:tc>
      </w:tr>
      <w:tr w14:paraId="17A78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rPr>
        <w:tc>
          <w:tcPr>
            <w:tcW w:w="61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29DE29E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04</w:t>
            </w:r>
          </w:p>
        </w:tc>
        <w:tc>
          <w:tcPr>
            <w:tcW w:w="840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F29F28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Style w:val="6"/>
                <w:rFonts w:hint="eastAsia" w:ascii="宋体" w:hAnsi="宋体" w:eastAsia="宋体" w:cs="宋体"/>
                <w:i w:val="0"/>
                <w:iCs w:val="0"/>
                <w:caps w:val="0"/>
                <w:color w:val="333333"/>
                <w:spacing w:val="0"/>
                <w:sz w:val="24"/>
                <w:szCs w:val="24"/>
                <w:bdr w:val="none" w:color="auto" w:sz="0" w:space="0"/>
              </w:rPr>
              <w:t>专业公共卫生机构</w:t>
            </w:r>
          </w:p>
          <w:p w14:paraId="29B2E54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i w:val="0"/>
                <w:iCs w:val="0"/>
                <w:caps w:val="0"/>
                <w:color w:val="333333"/>
                <w:spacing w:val="0"/>
                <w:sz w:val="24"/>
                <w:szCs w:val="24"/>
                <w:bdr w:val="none" w:color="auto" w:sz="0" w:space="0"/>
              </w:rPr>
              <w:t>建设广州市紧急医学救援指挥中心、番禺区公共卫生服务中心等项目。</w:t>
            </w:r>
          </w:p>
        </w:tc>
      </w:tr>
    </w:tbl>
    <w:p w14:paraId="2851AEA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11F9CE0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第三十章  着力保障和改善民生</w:t>
      </w:r>
    </w:p>
    <w:p w14:paraId="48921BC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rPr>
          <w:rFonts w:hint="eastAsia" w:ascii="宋体" w:hAnsi="宋体" w:eastAsia="宋体" w:cs="宋体"/>
          <w:i w:val="0"/>
          <w:iCs w:val="0"/>
          <w:caps w:val="0"/>
          <w:color w:val="333333"/>
          <w:spacing w:val="0"/>
          <w:sz w:val="24"/>
          <w:szCs w:val="24"/>
        </w:rPr>
      </w:pPr>
    </w:p>
    <w:p w14:paraId="5685806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坚持尽力而为、量力而行，聚焦普惠性、基础性、兜底性民生建设，持续破解人民群众急难愁盼问题，稳步推进基本公共服务均等化，全面提升人民生活品质，更好满足人民对美好生活的向往。</w:t>
      </w:r>
    </w:p>
    <w:p w14:paraId="1874454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121D06E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全力稳就业促增收</w:t>
      </w:r>
    </w:p>
    <w:p w14:paraId="09E09CC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644B744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多措并举稳就业扩就业。健全高质量充分就业促进机制，加力重点领域、重点行业、城乡基层和中小微企业岗位挖潜扩容，围绕民生服务需求拓展就业岗位供给。实施大规模职业技能提升培训行动，着力解决结构性就业矛盾，加强人工智能、先进制造、直播电商等重点行业技能人才培养，加强产教评技能生态链建设。加大高校毕业生、农民工、退役军人等重点群体的就业创业服务力度，推动灵活就业、新就业形态健康发展。打造全方位就业公共服务体系，推进“家门口”就业驿站、院校就业创业e站、羊城技能加油站、零工市场和创业孵化基地等平台体系扩容提质，健全就业困难人员帮扶机制。完善劳动标准体系和劳动关系协商协调机制，健全灵活就业和新就业形态劳动者权益保障制度，构建和谐劳动关系。夯实根治欠薪长效机制，落实就业歧视救济机制，持续规范人力资源市场秩序。完善就业影响评估和监测预警，综合应对外部环境变化和新技术发展对就业的影响。</w:t>
      </w:r>
    </w:p>
    <w:p w14:paraId="606F90C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促进居民收入稳步增长。完善工资宏观调控和指导机制，健全最低工资标准调整机制和劳动者工资正常增长机制。健全各类要素由市场评价贡献、按贡献决定报酬的机制，促进多劳者多得、技高者多得、创新者多得。拓宽城乡居民财产性收入渠道，稳步扩大中等收入群体规模。</w:t>
      </w:r>
    </w:p>
    <w:p w14:paraId="7C729E3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87E22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健全多层次全覆盖社会保障体系</w:t>
      </w:r>
    </w:p>
    <w:p w14:paraId="101EB55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rPr>
          <w:rFonts w:hint="eastAsia" w:ascii="宋体" w:hAnsi="宋体" w:eastAsia="宋体" w:cs="宋体"/>
          <w:i w:val="0"/>
          <w:iCs w:val="0"/>
          <w:caps w:val="0"/>
          <w:color w:val="333333"/>
          <w:spacing w:val="0"/>
          <w:sz w:val="24"/>
          <w:szCs w:val="24"/>
        </w:rPr>
      </w:pPr>
    </w:p>
    <w:p w14:paraId="13E161D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完善覆盖全民的社会保险体系。健全多层次、多支柱养老保险体系，落实基本养老保险全国统筹，优化城乡居民基本养老保险制度，稳步扩大企业年金、人才年金覆盖范围，加速推动个人养老金形成第三支柱。健全多层次医疗保障体系，强化基本医疗保险、大病保险和医疗救助三重保障功能，完善城乡居民基本医疗保险筹资机制，推动“穗岁康”全面提质增效，支持商业健康保险发展，促进各类医疗保障互补衔接。深化医保支付方式改革，推进按病种分值付费（DIP）、创新药械纳入商业健康保险保障（穗新保）试点。推动失业保险、工伤保险参保扩面，建立健全职业伤害保障制度，推进国家职业伤害保障试点扩围。提升社保关系转移接续便利度，提高灵活就业人员、农民工、新就业形态人员参保率，对符合条件的高校毕业生、就业困难人员等予以社会保险补贴。</w:t>
      </w:r>
    </w:p>
    <w:p w14:paraId="55A474F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优化社会救助和福利服务体系。完善城乡统筹的分层分类救助帮扶制度，推进社会救助从保生存向保基本、防风险、促发展转变。科学合理调整最低生活保障标准，完善价格临时补贴联动机制。深化服务类社会救助改革，深化救助管理区域性中心试点，推动“穗救易·共助空间”拓面提质。健全特殊困难群体动态监测与综合评估机制，强化突发性、临时性困难兜底保障。加大对妇女、儿童、残疾人等重点群体关爱力度，改善对孤寡、残障失能等特殊困难老年人的服务，建立重度残疾人托养照护制度。加强残疾人康复机构和孤独症儿童辅读学校建设，全方位促进残疾人和孤独症患者融入社会。推动社区慈善发展，健全经常性社会捐助机制，深化“慈善之城”品牌建设，促进和规范慈善事业发展。建立健全基本殡葬服务制度，强化殡葬行业公益属性。</w:t>
      </w:r>
    </w:p>
    <w:p w14:paraId="2EBBD5A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强化退役军人服务保障。持续完善退役军人组织管理体系、工作运行体系和政策制度体系，优化退役军人接收安置，支持扶持退役军人就业创业。健全优抚保障体系，推进优抚康养事业单位建设，加强军休机构建设，做好困难退役军人帮扶。深化思政引领和褒扬激励，强化退役军人思想政治工作。加强烈士纪念设施保护管理，营造崇尚英烈的社会氛围。完善双拥工作组织领导机制，提升军供保障质效，持续推进广州全国双拥模范城创建活动。</w:t>
      </w:r>
    </w:p>
    <w:p w14:paraId="3ED5AED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C6105B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第三节  推动房地产高质量发展</w:t>
      </w:r>
    </w:p>
    <w:p w14:paraId="0F1AC68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6ED58FB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构建房地产发展新模式，完善“保障＋市场”的住房供应体系。优化商品住宅用地供给，多措并举消化既有库存，着力稳定房地产市场，推动房地产市场平稳健康发展。完善房地产全过程监管，健全房地产融资协调机制。加强房屋全生命周期安全管理，全链条提升住房设计、建造、维护、服务水平，大力推进安全、舒适、绿色、智慧的“好房子”建设，实施物业服务质量提升行动，推动“住有宜居”向“住有优居”迈进。持续完善以公共租赁住房、保障性租赁住房和配售型保障性住房为主体的住房保障体系，稳步推进人才安居工程。优化公共租赁住房货币补贴保障机制，强化对户籍中低收入住房困难家庭的公共租赁住房兜底保障。多渠道筹集保障性租赁住房，支持产业园区企业利用自有用地建设宿舍型保障性租赁住房，切实缓解新市民、青年人住房压力。稳妥发展配售型保障性住房。积极引导社会资本和专业机构参与保障性住房建设运营。</w:t>
      </w:r>
    </w:p>
    <w:p w14:paraId="71CC24E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AB1C63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第四节  促进重点群体共享发展</w:t>
      </w:r>
    </w:p>
    <w:p w14:paraId="1407F42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AB8310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推动妇女全面发展。持续改善妇女发展环境，保障妇女在政治、经济、文化、社会和家庭生活等各领域平等参与、平等发展。提升妇女卫生健康服务水平，完善宫颈癌、乳腺癌综合防治体系和救助体系。建立健全贫困妇女、农村妇女、留守妇女、老龄妇女等特殊妇女群体关爱服务体系。落实法规政策性别平等评估机制，完善分性别统计机制。严厉打击侵害妇女人身权利的违法犯罪行为。</w:t>
      </w:r>
    </w:p>
    <w:p w14:paraId="3ADF5C0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保障儿童优先发展。践行儿童友好理念，高质量推进儿童友好城市建设，切实保障儿童生存权、发展权、受保护权和参与权。完善儿童健康服务体系，保障儿童公平受教育权利。推进全国儿童福利机构高质量发展改革试点。加强困境儿童分类保障，完善农村留守儿童、流动儿童关爱服务体系，健全孤儿和事实无人抚养儿童保障机制。落实未成年人监护制度，严厉打击侵害未成年人的违法犯罪行为，完善未成年人综合保护体系。创新开展广州“清风侠行动”</w:t>
      </w:r>
      <w:r>
        <w:rPr>
          <w:rFonts w:hint="eastAsia" w:ascii="宋体" w:hAnsi="宋体" w:eastAsia="宋体" w:cs="宋体"/>
          <w:i w:val="0"/>
          <w:iCs w:val="0"/>
          <w:caps w:val="0"/>
          <w:color w:val="333333"/>
          <w:spacing w:val="0"/>
          <w:sz w:val="15"/>
          <w:szCs w:val="15"/>
          <w:bdr w:val="none" w:color="auto" w:sz="0" w:space="0"/>
          <w:shd w:val="clear" w:fill="FFFFFF"/>
          <w:vertAlign w:val="superscript"/>
        </w:rPr>
        <w:t>161</w:t>
      </w:r>
      <w:r>
        <w:rPr>
          <w:rFonts w:hint="eastAsia" w:ascii="宋体" w:hAnsi="宋体" w:eastAsia="宋体" w:cs="宋体"/>
          <w:i w:val="0"/>
          <w:iCs w:val="0"/>
          <w:caps w:val="0"/>
          <w:color w:val="333333"/>
          <w:spacing w:val="0"/>
          <w:sz w:val="24"/>
          <w:szCs w:val="24"/>
          <w:bdr w:val="none" w:color="auto" w:sz="0" w:space="0"/>
          <w:shd w:val="clear" w:fill="FFFFFF"/>
        </w:rPr>
        <w:t>，深化未成年人思想道德建设，加强未成年人心理健康教育，建好用好12355青少年服务中心。</w:t>
      </w:r>
    </w:p>
    <w:p w14:paraId="500F34C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提升残疾人关爱服务水平。完善残疾人社会福利制度，扩大残疾人社会保险覆盖范围，提高残疾人基本民生保障水平。提升残疾人职业素养和就业创业技能，拓展残疾人就业渠道，维护残疾人劳动权益，促进残疾人就业增收。优化完善残疾人关爱服务体系和设施，建设智慧无障碍城市。健全残疾预防和健康管理工作体系，推动残疾人康复、残疾人托养照护、残疾人教育等基本公共服务均等化。加强残疾人公共法律服务和司法保护。</w:t>
      </w:r>
    </w:p>
    <w:p w14:paraId="6C8576C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378D443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第十一篇  完善规划实施保障机制，为顺利实施“十五五”规划提供坚强保证</w:t>
      </w:r>
    </w:p>
    <w:p w14:paraId="1BA7EB4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rPr>
          <w:rFonts w:hint="eastAsia" w:ascii="宋体" w:hAnsi="宋体" w:eastAsia="宋体" w:cs="宋体"/>
          <w:i w:val="0"/>
          <w:iCs w:val="0"/>
          <w:caps w:val="0"/>
          <w:color w:val="333333"/>
          <w:spacing w:val="0"/>
          <w:sz w:val="24"/>
          <w:szCs w:val="24"/>
        </w:rPr>
      </w:pPr>
    </w:p>
    <w:p w14:paraId="6FEF312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坚持以党的自我革命引领社会革命，纵深推进全面从严治党，增强党的政治领导力、思想引领力、群众组织力、社会号召力，提升党领导经济社会发展能力和水平，健全规划体系和实施机制，团结带领全市上下“二次创业、勇立潮头”，把中国式现代化广州实践不断推向前进。</w:t>
      </w:r>
    </w:p>
    <w:p w14:paraId="50B3523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1D871DC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第三十一章  坚持和加强党的全面领导</w:t>
      </w:r>
    </w:p>
    <w:p w14:paraId="7858A94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26277A0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全面、系统、整体落实党的领导，强化全面从严治党主体责任和监督责任，以高质量党建引领高质量发展。突出把党的政治建设摆在首位，深刻领悟“两个确立”的决定性意义，增强“四个意识”、坚定“四个自信”、做到“两个维护”，严格落实关于坚决维护以习近平同志为核心的党中央权威和集中统一领导的规定，完善党中央重大决策部署落实机制。推进政治监督具体化、精准化、常态化，建立健全巡视整改工作机制，深入推进中央联动巡视反馈意见整改，深化政治巡察。坚持不懈用党的创新理论凝心铸魂，健全和落实以学铸魂、以学增智、以学正风、以学促干长效机制，深入实施习近平新时代中国特色社会主义思想教育培训计划。充分发挥党总揽全局、协调各方的领导核心作用，强化规划实施的领导责任和实施职责，全面提高规划执行力和落实力。抓住干部这个决定性因素，坚持正确选人用人导向，深入实施“一把手”选拔培养工程、“羊城薪火工程”，选好干部、配强班子。教育和引导各级干部树立和践行正确政绩观，坚持从实际出发、按规律办事，自觉为人民出政绩，以正确政绩观推动高质量、可持续的发展。优化政绩考核评价机制，推进领导干部能上能下常态化，提升干部现代化建设能力，严管厚爱结合、激励约束并重，打造党性过硬、视野开阔、善于创新、真抓实干的干部队伍，迸发迎难而上、奋发进取的精神气象。坚持大抓基层的鲜明导向，统筹推进各领域基层党组织建设，实施基层党组织建设“强基工程”，加强新兴领域党建工作，统筹各种资源进一步办好民生实事、民生微实事，不断增强党组织政治功能和组织功能，充分发挥党员先锋模范作用。坚持把正风肃纪反腐贯穿权力运行全过程，锲而不舍落实中央八项规定精神，深化运用监督执纪“四种形态”</w:t>
      </w:r>
      <w:r>
        <w:rPr>
          <w:rFonts w:hint="eastAsia" w:ascii="宋体" w:hAnsi="宋体" w:eastAsia="宋体" w:cs="宋体"/>
          <w:i w:val="0"/>
          <w:iCs w:val="0"/>
          <w:caps w:val="0"/>
          <w:color w:val="333333"/>
          <w:spacing w:val="0"/>
          <w:sz w:val="15"/>
          <w:szCs w:val="15"/>
          <w:bdr w:val="none" w:color="auto" w:sz="0" w:space="0"/>
          <w:shd w:val="clear" w:fill="FFFFFF"/>
          <w:vertAlign w:val="superscript"/>
        </w:rPr>
        <w:t>162</w:t>
      </w:r>
      <w:r>
        <w:rPr>
          <w:rFonts w:hint="eastAsia" w:ascii="宋体" w:hAnsi="宋体" w:eastAsia="宋体" w:cs="宋体"/>
          <w:i w:val="0"/>
          <w:iCs w:val="0"/>
          <w:caps w:val="0"/>
          <w:color w:val="333333"/>
          <w:spacing w:val="0"/>
          <w:sz w:val="24"/>
          <w:szCs w:val="24"/>
          <w:bdr w:val="none" w:color="auto" w:sz="0" w:space="0"/>
          <w:shd w:val="clear" w:fill="FFFFFF"/>
        </w:rPr>
        <w:t>，精准落实“三个区分开来”</w:t>
      </w:r>
      <w:r>
        <w:rPr>
          <w:rFonts w:hint="eastAsia" w:ascii="宋体" w:hAnsi="宋体" w:eastAsia="宋体" w:cs="宋体"/>
          <w:i w:val="0"/>
          <w:iCs w:val="0"/>
          <w:caps w:val="0"/>
          <w:color w:val="333333"/>
          <w:spacing w:val="0"/>
          <w:sz w:val="15"/>
          <w:szCs w:val="15"/>
          <w:bdr w:val="none" w:color="auto" w:sz="0" w:space="0"/>
          <w:shd w:val="clear" w:fill="FFFFFF"/>
          <w:vertAlign w:val="superscript"/>
        </w:rPr>
        <w:t>163</w:t>
      </w:r>
      <w:r>
        <w:rPr>
          <w:rFonts w:hint="eastAsia" w:ascii="宋体" w:hAnsi="宋体" w:eastAsia="宋体" w:cs="宋体"/>
          <w:i w:val="0"/>
          <w:iCs w:val="0"/>
          <w:caps w:val="0"/>
          <w:color w:val="333333"/>
          <w:spacing w:val="0"/>
          <w:sz w:val="24"/>
          <w:szCs w:val="24"/>
          <w:bdr w:val="none" w:color="auto" w:sz="0" w:space="0"/>
          <w:shd w:val="clear" w:fill="FFFFFF"/>
        </w:rPr>
        <w:t>，完善为基层减负长效机制，加强公权力大数据监督，深化“纪巡审”贯通协同，强化对“关键少数”的教育监督管理，一体推进不敢腐、不能腐、不想腐，深化整治权力集中、资金密集、资源富集领域腐败，积极探索惩治新型腐败、隐性腐败、跨境腐败的有效办法，坚决整治群众身边的“蝇贪蚁腐”，建立健全新时代廉洁文化建设体系，坚决打好反腐败斗争攻坚战、持久战、总体战，以风清气正的政治生态引领形成良好发展环境。</w:t>
      </w:r>
    </w:p>
    <w:p w14:paraId="78BB7CE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45B8A6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第三十二章  深入推进社会主义民主政治建设</w:t>
      </w:r>
    </w:p>
    <w:p w14:paraId="6F7CA3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left"/>
        <w:rPr>
          <w:rFonts w:hint="eastAsia" w:ascii="宋体" w:hAnsi="宋体" w:eastAsia="宋体" w:cs="宋体"/>
          <w:i w:val="0"/>
          <w:iCs w:val="0"/>
          <w:caps w:val="0"/>
          <w:color w:val="333333"/>
          <w:spacing w:val="0"/>
          <w:sz w:val="24"/>
          <w:szCs w:val="24"/>
        </w:rPr>
      </w:pPr>
    </w:p>
    <w:p w14:paraId="0733C1F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坚持党的领导、人民当家作主、依法治国有机统一，打造全过程人民民主城市典范。坚持好、完善好、运行好人民代表大会制度，加强人大对“一府一委两院”</w:t>
      </w:r>
      <w:r>
        <w:rPr>
          <w:rFonts w:hint="eastAsia" w:ascii="宋体" w:hAnsi="宋体" w:eastAsia="宋体" w:cs="宋体"/>
          <w:i w:val="0"/>
          <w:iCs w:val="0"/>
          <w:caps w:val="0"/>
          <w:color w:val="333333"/>
          <w:spacing w:val="0"/>
          <w:sz w:val="15"/>
          <w:szCs w:val="15"/>
          <w:bdr w:val="none" w:color="auto" w:sz="0" w:space="0"/>
          <w:shd w:val="clear" w:fill="FFFFFF"/>
          <w:vertAlign w:val="superscript"/>
        </w:rPr>
        <w:t>164</w:t>
      </w:r>
      <w:r>
        <w:rPr>
          <w:rFonts w:hint="eastAsia" w:ascii="宋体" w:hAnsi="宋体" w:eastAsia="宋体" w:cs="宋体"/>
          <w:i w:val="0"/>
          <w:iCs w:val="0"/>
          <w:caps w:val="0"/>
          <w:color w:val="333333"/>
          <w:spacing w:val="0"/>
          <w:sz w:val="24"/>
          <w:szCs w:val="24"/>
          <w:bdr w:val="none" w:color="auto" w:sz="0" w:space="0"/>
          <w:shd w:val="clear" w:fill="FFFFFF"/>
        </w:rPr>
        <w:t>监督，建强用好人大代表联络站、全过程人民民主感知点、人大代表产业联系点，不断擦亮“民意码上说、实事马上办”</w:t>
      </w:r>
      <w:r>
        <w:rPr>
          <w:rFonts w:hint="eastAsia" w:ascii="宋体" w:hAnsi="宋体" w:eastAsia="宋体" w:cs="宋体"/>
          <w:i w:val="0"/>
          <w:iCs w:val="0"/>
          <w:caps w:val="0"/>
          <w:color w:val="333333"/>
          <w:spacing w:val="0"/>
          <w:sz w:val="15"/>
          <w:szCs w:val="15"/>
          <w:bdr w:val="none" w:color="auto" w:sz="0" w:space="0"/>
          <w:shd w:val="clear" w:fill="FFFFFF"/>
          <w:vertAlign w:val="superscript"/>
        </w:rPr>
        <w:t>165</w:t>
      </w:r>
      <w:r>
        <w:rPr>
          <w:rFonts w:hint="eastAsia" w:ascii="宋体" w:hAnsi="宋体" w:eastAsia="宋体" w:cs="宋体"/>
          <w:i w:val="0"/>
          <w:iCs w:val="0"/>
          <w:caps w:val="0"/>
          <w:color w:val="333333"/>
          <w:spacing w:val="0"/>
          <w:sz w:val="24"/>
          <w:szCs w:val="24"/>
          <w:bdr w:val="none" w:color="auto" w:sz="0" w:space="0"/>
          <w:shd w:val="clear" w:fill="FFFFFF"/>
        </w:rPr>
        <w:t>和“代表随手拍”</w:t>
      </w:r>
      <w:r>
        <w:rPr>
          <w:rFonts w:hint="eastAsia" w:ascii="宋体" w:hAnsi="宋体" w:eastAsia="宋体" w:cs="宋体"/>
          <w:i w:val="0"/>
          <w:iCs w:val="0"/>
          <w:caps w:val="0"/>
          <w:color w:val="333333"/>
          <w:spacing w:val="0"/>
          <w:sz w:val="15"/>
          <w:szCs w:val="15"/>
          <w:bdr w:val="none" w:color="auto" w:sz="0" w:space="0"/>
          <w:shd w:val="clear" w:fill="FFFFFF"/>
          <w:vertAlign w:val="superscript"/>
        </w:rPr>
        <w:t>166</w:t>
      </w:r>
      <w:r>
        <w:rPr>
          <w:rFonts w:hint="eastAsia" w:ascii="宋体" w:hAnsi="宋体" w:eastAsia="宋体" w:cs="宋体"/>
          <w:i w:val="0"/>
          <w:iCs w:val="0"/>
          <w:caps w:val="0"/>
          <w:color w:val="333333"/>
          <w:spacing w:val="0"/>
          <w:sz w:val="24"/>
          <w:szCs w:val="24"/>
          <w:bdr w:val="none" w:color="auto" w:sz="0" w:space="0"/>
          <w:shd w:val="clear" w:fill="FFFFFF"/>
        </w:rPr>
        <w:t>等吸纳民意的工作品牌。发挥人民政协作为专门协商机构作用，纵深推进“十”字履职</w:t>
      </w:r>
      <w:r>
        <w:rPr>
          <w:rFonts w:hint="eastAsia" w:ascii="宋体" w:hAnsi="宋体" w:eastAsia="宋体" w:cs="宋体"/>
          <w:i w:val="0"/>
          <w:iCs w:val="0"/>
          <w:caps w:val="0"/>
          <w:color w:val="333333"/>
          <w:spacing w:val="0"/>
          <w:sz w:val="15"/>
          <w:szCs w:val="15"/>
          <w:bdr w:val="none" w:color="auto" w:sz="0" w:space="0"/>
          <w:shd w:val="clear" w:fill="FFFFFF"/>
          <w:vertAlign w:val="superscript"/>
        </w:rPr>
        <w:t>167</w:t>
      </w:r>
      <w:r>
        <w:rPr>
          <w:rFonts w:hint="eastAsia" w:ascii="宋体" w:hAnsi="宋体" w:eastAsia="宋体" w:cs="宋体"/>
          <w:i w:val="0"/>
          <w:iCs w:val="0"/>
          <w:caps w:val="0"/>
          <w:color w:val="333333"/>
          <w:spacing w:val="0"/>
          <w:sz w:val="24"/>
          <w:szCs w:val="24"/>
          <w:bdr w:val="none" w:color="auto" w:sz="0" w:space="0"/>
          <w:shd w:val="clear" w:fill="FFFFFF"/>
        </w:rPr>
        <w:t>，衔接用好“百姓提案”与“有事好商量”协商平台，加强各种协商渠道协同配合。深化工会、共青团、妇联等群团组织改革和建设，健全联系广泛、服务群众的工作体系。完善大统战工作格局，充分发挥民主党派、工商联和无党派人士、新的社会阶层人士作用，铸牢中华民族共同体意识，系统推进我国宗教中国化广州实践，发展壮大爱国爱港爱澳力量，推进新时代枢纽型侨都建设，推动“侨梦苑”创新平台高质量发展，巩固和发展最广泛的爱国统一战线。完善促进穗台经济文化交流合作制度和措施，深化穗台融合发展。充分调动全社会投身中国式现代化广州实践的积极性、主动性和创造性，最大限度凝聚人心、汇聚力量，共同推动全市“十五五”经济社会发展主要目标和战略任务顺利完成。</w:t>
      </w:r>
    </w:p>
    <w:p w14:paraId="169503D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8F0643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第三十三章  健全规划体系和实施机制</w:t>
      </w:r>
    </w:p>
    <w:p w14:paraId="52E675B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429E70D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落实国家发展规划法，加强市内各级各类规划管理，建立健全规划实施机制，形成推动规划实施的强大合力。</w:t>
      </w:r>
    </w:p>
    <w:p w14:paraId="3A7D8AB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513BF3B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第一节  推进规划体系建设</w:t>
      </w:r>
    </w:p>
    <w:p w14:paraId="59BA6A5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rPr>
          <w:rFonts w:hint="eastAsia" w:ascii="宋体" w:hAnsi="宋体" w:eastAsia="宋体" w:cs="宋体"/>
          <w:i w:val="0"/>
          <w:iCs w:val="0"/>
          <w:caps w:val="0"/>
          <w:color w:val="333333"/>
          <w:spacing w:val="0"/>
          <w:sz w:val="24"/>
          <w:szCs w:val="24"/>
        </w:rPr>
      </w:pPr>
    </w:p>
    <w:p w14:paraId="601AA33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强化发展规划统领作用。市发展规划居于市级规划体系最上位，是全市其他各级各类规划的总遵循。更好发挥市发展规划战略导向作用，健全完善以市发展规划为统领、空间规划为基础、专项规划和区域规划为支撑的全市规划体系。市级专项规划、区域规划和区级规划要依据市发展规划编制，市级空间规划要根据市发展规划适时调整。</w:t>
      </w:r>
    </w:p>
    <w:p w14:paraId="27F958F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加强各级各类规划衔接。加强与国家和省发展规划、空间规划、区域规划、专项规划的有机衔接，在重大政策、重大改革、重大项目等方面争取国家、省更大支持。统筹各级各类规划编制，推动建立完善市、区全口径规划编制目录清单，精简数量、提高质量，防止规划过多过滥、缺乏实效。报请市委、市政府批准的规划，报批前必须与市发展规划进行衔接，确保市级各类规划与本规划在主要目标、发展方向、总体布局、重大政策、重大工程、风险防控等方面相协调。加强对区级规划的指导，完善区级规划与市级规划衔接机制，各区发展规划须按程序与本规划进行衔接，确保区级规划与上位规划、上级规划协同一致。</w:t>
      </w:r>
    </w:p>
    <w:p w14:paraId="040E52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64124E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第二节  完善规划实施机制</w:t>
      </w:r>
    </w:p>
    <w:p w14:paraId="27981C1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0677D25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落实规划实施责任。各区、各部门要根据职能分工，制定落实市发展规划涉及本区、本部门的主要任务实施方案。市发展规划确定的约束性指标、重大工程项目和公共服务、生态环保等任务，要明确责任主体和进度要求，确保如期完成。市发展规划提出的预期性指标和产业发展、结构优化等领域任务，要创造良好的政策、制度和法治环境。市级国民经济和社会发展年度计划要贯彻市发展规划提出的发展目标和重点任务，将市发展规划确定的主要指标分解纳入年度计划指标体系，设置年度目标并做好年度间的综合平衡，合理确定年度工作重点。</w:t>
      </w:r>
    </w:p>
    <w:p w14:paraId="5D87C2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加强规划实施监测评估。开展规划实施情况动态监测、中期评估和总结评估，鼓励开展第三方评估，并依法向市人民代表大会常务委员会报告规划实施情况，自觉接受人大监管。发挥市级纪检监察机关和审计机关对推进规划实施的监督作用。强化规划权威性、严肃性，未经法定程序批准，不得随意调整更改各类规划。充分发挥信息化在规划编制和实施中的作用，完善统一的市规划综合管理信息平台。</w:t>
      </w:r>
    </w:p>
    <w:p w14:paraId="44D6D68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70E33AF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第三节  做实政策和项目支撑</w:t>
      </w:r>
    </w:p>
    <w:p w14:paraId="0491641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3F053F6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强化政策协同发力。围绕实施市发展规划，发挥好财政、产业、价格、就业、消费、投资、贸易、环保、监管、土地等政策作用，确保各类政策同向发力，合理配置公共资源，积极引导社会资源。做好宏观政策取向一致性评估，推动各类政策措施同向发力、形成合力。健全预期管理机制，加强经济形势分析研判，做好经济宣传和舆论引导，及时回应市场关切，有效提振社会信心。</w:t>
      </w:r>
    </w:p>
    <w:p w14:paraId="0F4D175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强化重大项目支撑。组织编制市重点项目年度计划，将“十五五”重大项目投资任务细化至每一年，用好重大项目前期工作经费，加强重点项目谋划论证，推动形成“投产一批、建设一批、开工一批、储备一批”滚动实施机制。坚持项目跟着规划走、资金和要素跟着项目走、监管跟着项目和资金走，强化重大项目调度和协调，加快规划确定的重大工程项目审批核准，优先保障规划选址、用地用林用海用能和资金需求。</w:t>
      </w:r>
    </w:p>
    <w:p w14:paraId="7034882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both"/>
        <w:rPr>
          <w:rFonts w:hint="eastAsia" w:ascii="宋体" w:hAnsi="宋体" w:eastAsia="宋体" w:cs="宋体"/>
          <w:i w:val="0"/>
          <w:iCs w:val="0"/>
          <w:caps w:val="0"/>
          <w:color w:val="333333"/>
          <w:spacing w:val="0"/>
          <w:sz w:val="24"/>
          <w:szCs w:val="24"/>
        </w:rPr>
      </w:pPr>
    </w:p>
    <w:p w14:paraId="300F23C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center"/>
        <w:rPr>
          <w:rFonts w:hint="eastAsia" w:ascii="宋体" w:hAnsi="宋体" w:eastAsia="宋体" w:cs="宋体"/>
          <w:i w:val="0"/>
          <w:iCs w:val="0"/>
          <w:caps w:val="0"/>
          <w:color w:val="333333"/>
          <w:spacing w:val="0"/>
          <w:sz w:val="24"/>
          <w:szCs w:val="24"/>
        </w:rPr>
      </w:pPr>
      <w:r>
        <w:rPr>
          <w:rStyle w:val="6"/>
          <w:rFonts w:hint="eastAsia" w:ascii="宋体" w:hAnsi="宋体" w:eastAsia="宋体" w:cs="宋体"/>
          <w:i w:val="0"/>
          <w:iCs w:val="0"/>
          <w:caps w:val="0"/>
          <w:color w:val="333333"/>
          <w:spacing w:val="0"/>
          <w:sz w:val="24"/>
          <w:szCs w:val="24"/>
          <w:bdr w:val="none" w:color="auto" w:sz="0" w:space="0"/>
          <w:shd w:val="clear" w:fill="FFFFFF"/>
        </w:rPr>
        <w:t>名 词 解 释</w:t>
      </w:r>
    </w:p>
    <w:p w14:paraId="7E11A4D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rPr>
          <w:rFonts w:hint="eastAsia" w:ascii="宋体" w:hAnsi="宋体" w:eastAsia="宋体" w:cs="宋体"/>
          <w:i w:val="0"/>
          <w:iCs w:val="0"/>
          <w:caps w:val="0"/>
          <w:color w:val="333333"/>
          <w:spacing w:val="0"/>
          <w:sz w:val="24"/>
          <w:szCs w:val="24"/>
        </w:rPr>
      </w:pPr>
    </w:p>
    <w:p w14:paraId="52C0788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w:t>
      </w:r>
    </w:p>
    <w:p w14:paraId="39A046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 老城市新活力、“四个出新出彩”：2018年10月，习近平总书记视察广东并发表重要讲话，要求广州实现老城市新活力，在综合城市功能、城市文化综合实力、现代服务业、现代化国际化营商环境方面出新出彩。</w:t>
      </w:r>
    </w:p>
    <w:p w14:paraId="0AD57A3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2. 省委“1310”具体部署：“1”指锚定“走在前列”一个总目标；“3”指激活改革、开放、创新“三大动力”；“10”指奋力实现“十大新突破”，即纵深推进新阶段粤港澳大湾区建设，在牵引全面深化改革开放上取得新突破；始终坚持实体经济为本、制造业当家，在建设更具国际竞争力的现代化产业体系上取得新突破；一体推进教育强省、科技创新强省、人才强省建设，在实现高水平科技自立自强上取得新突破；深入实施“百县千镇万村高质量发展工程”，在城乡区域协调发展上取得新突破；全面推进海洋强省建设，在打造海上新广东上取得新突破；深入推进绿美广东生态建设，在打造人与自然和谐共生的现代化广东样板上取得新突破；扎实推进文化强省建设，在交出物质文明和精神文明两份好的答卷上取得新突破；用心用情抓好民生社会事业，在推进共同富裕上取得新突破；扎实推进法治广东平安广东建设，在构建新安全格局上取得新突破；坚定不移加强党的全面领导和党的建设，在营造良好政治生态上取得新突破。</w:t>
      </w:r>
    </w:p>
    <w:p w14:paraId="2550BC9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3. 市委“1312”思路举措：“1”指锚定“排头兵、领头羊、火车头”标高追求；“3”指激活改革、开放、创新三大动力活力；“12”指奋力推动十二个领域走在前列、当好示范，即纵深推进新阶段粤港澳大湾区建设；加快构建以实体经济为支撑的现代化产业体系；加快推进高水平科技自立自强；深入实施“百县千镇万村高质量发展工程”；着力加强城市规划建设治理；持续强化中心城市门户枢纽功能；全力建设海洋创新发展之都；全面增强城市文化综合实力；深入推进绿美广州生态建设；用心用情保障改善民生；高水平统筹发展和安全；坚定不移加强党的全面领导和党的建设。</w:t>
      </w:r>
    </w:p>
    <w:p w14:paraId="5408806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4. “12218”现代化产业体系：“1”即坚持“产业第一、制造业立市”一个总体要求。“2”即把握制造业服务业“两业融合”、数智化绿色化“两化转型”两个主攻方向。“21”即15个战略性产业集群和6个未来产业。其中，15个战略性产业集群包括智能网联与新能源汽车、超高清视频与新型显示、生物医药与健康、绿色石化与新材料、软件与互联网、智能装备与机器人等6个新兴支柱产业，人工智能、半导体与集成电路、新能源与新型储能、低空经济与航空航天、生物制造等5个战略先导产业，时尚消费品、轨道交通、船舶与海洋工程、智能建造与工业化建筑等4个特色优势产业；6个未来产业包括智能无人系统、具身智能、细胞与基因、未来网络与量子科技、前沿新材料、深海深空。“8”即现代金融、科技服务、专业服务、现代商贸、物流与供应链、会展、文化创意、旅游休闲等8个现代服务业。</w:t>
      </w:r>
    </w:p>
    <w:p w14:paraId="5F22F60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5. 生产性服务业：根据国家统计局《生产性服务业统计分类（2019）》，生产性服务业包括为生产活动提供的研发设计与其他技术服务，货物运输、通用航空生产、仓储和邮政快递服务，信息服务，金融服务，节能与环保服务，生产性租赁服务，商务服务，人力资源管理与职业教育培训服务，批发与贸易经纪代理服务，生产性支持服务。</w:t>
      </w:r>
    </w:p>
    <w:p w14:paraId="657DC4B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6. 人体蛋白质组导航国际大科学计划：由中国科学家于2019年领衔发起，得到全球科学界的广泛响应。该计划旨在绘制人类全生命周期全球性重大疾病及代表性膳食模式、生存环境的蛋白质组图谱，解析人类蛋白质组构成原理和演变的规律，探索生物医学大数据从信息知识到智慧的路径，实现人体蛋白质组定位系统的精确空间定位、准确状态定性和人体从非健康状态到健康状态的精准导航。</w:t>
      </w:r>
    </w:p>
    <w:p w14:paraId="711234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7. 南沙金融30条：2025年4月，中国人民银行等五部门联合印发《关于金融支持广州南沙深化面向世界的粤港澳全面合作的意见》，提出30条重点举措全方位赋能南沙开发开放。</w:t>
      </w:r>
    </w:p>
    <w:p w14:paraId="49BA5F3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8. “6+4”城市性质和核心功能：“6”指广东省省会、我国重要的中心城市、国家历史文化名城、彰显海洋特色的现代化城市、国际性综合交通枢纽城市、科技教育文化中心六大城市性质；“4”指国际商贸中心、全国先进制造业基地、全国综合性门户、国际科技创新中心重要承载地4大核心功能。</w:t>
      </w:r>
    </w:p>
    <w:p w14:paraId="70D6498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9. “三脉”传承发展、“三轴”融合互动、“三核”联动发展、“三个广州”交相辉映：促进广州千年城脉、文脉、商脉传承发展，推动城市老中轴、新中轴、活力创新轴融合互动，实现老城区“历史文化核”、广州东部中心“现代活力核”、南沙“未来发展核”联动发展，打造彰显经典魅力和时代活力的“老广州”，挺起城市产业硬支撑、担当高质量发展动力源的“新广州”，最中国、最岭南、最现代、最国际的“未来广州”。</w:t>
      </w:r>
    </w:p>
    <w:p w14:paraId="016E91A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10. 城市信息模型（CIM）：以建筑信息模型、地理信息系统、物联网等技术为基础，整合城市地上地下、室内室外、历史现状未来多维多尺度信息模型数据和城市感知数据，构建起三维数字空间的城市信息有机综合体。</w:t>
      </w:r>
    </w:p>
    <w:p w14:paraId="2457916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11. 双一流：国家为提升高等教育综合实力和国际竞争力，于2015年由国务院实施的建设世界一流大学和一流学科的重大战略，旨在推动中国特色高等教育体系发展。</w:t>
      </w:r>
    </w:p>
    <w:p w14:paraId="06C719C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12. 广式养老：广州市打造的养老服务品牌。以失能照护为重点，以基本养老服务体系建设为基石，依托覆盖市、区、镇（街道）、村（社区）的四级养老服务网络，以智慧化“穗颐养”系统为支撑，深化医养结合、跨境协同、助餐配餐等服务，引导社会力量多元参与，致力于为老年人提供便捷可及、价格可负担、质量有保证的家门口养老服务，努力实现“养老不离家、幸福有依托”的美好愿景。</w:t>
      </w:r>
    </w:p>
    <w:p w14:paraId="3840B34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13. 穗救易：广州市在社会救助领域创新打造的一个救助服务品牌，线上利用大数据、人工智能等技术建设一个智能服务管理系统，线下依托全市“穗救易·共助空间”综合救助服务平台整合救助资源、拓展社会参与，致力为困难群众提供更加精准、高效、温暖、智慧的救助服务。</w:t>
      </w:r>
    </w:p>
    <w:p w14:paraId="67AB7AE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14. 一城二都三中心：“一城”指国家历史文化名城，“二都”指国际时尚之都、国际美食之都，“三中心”指国际演艺中心、国际会展中心、国际赛事中心。</w:t>
      </w:r>
    </w:p>
    <w:p w14:paraId="16C29B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15. “15个强市”“5个广州”：“15个强市”指先进制造业强市、质量强市、空天强市、海洋强市、金融强市、科技创新强市、人才强市、贸易强市、旅游强市、交通强市、网络强市、都市现代农业强市、文化强市、体育强市、教育强市；“5个广州”指数字广州、法治广州、平安广州、绿美广州、健康广州。</w:t>
      </w:r>
    </w:p>
    <w:p w14:paraId="2B9EC0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16. 重点产业链“突围工程”：为落实国家制造业重点产业链高质量发展行动，广东省工业和信息化厅制定重点产业链“突围工程”，统筹推进关键核心技术攻关工程、产业基础再造工程和重大技术装备攻关工程等工作。</w:t>
      </w:r>
    </w:p>
    <w:p w14:paraId="20C2E3C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17. 三横、三纵、三核：“三横”指新能源汽车、自动驾驶汽车、燃料电池汽车，“三纵”指乘用车、商用车、公用车（公用领域用车），“三核”指核心技术、核心部件、核心平台。</w:t>
      </w:r>
    </w:p>
    <w:p w14:paraId="2E286EC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18. “三电”系统：指电动汽车的电池、电机和电控三大核心技术系统。</w:t>
      </w:r>
    </w:p>
    <w:p w14:paraId="0945E80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19. “数字化柔性按需”生产模式与供应模式：将信息技术与制造全流程融合，以市场需求为导向，通过技术和管理创新实现对内外环境变化快速响应和灵活调整的新型动态适应性生产模式，实现个性化定制与规模化效益的统一，解决多样化与规模化之间的矛盾，是产业数字化转型的重要方向。</w:t>
      </w:r>
    </w:p>
    <w:p w14:paraId="120F84F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20. “1+3+N”低空飞行营地：“1”是广州大学城低空飞行营地，“3”是黄埔、增城、南沙3个专业性飞行营地，“N”是围绕重点景区、“百千万工程”等打造的休闲文旅飞行营地。</w:t>
      </w:r>
    </w:p>
    <w:p w14:paraId="14625E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21. 细胞和基因治疗：通过基因编辑、细胞改造等技术，修复或替换异常基因，或利用改造后的细胞治疗疾病的前沿医学手段。它分为基因治疗（直接修改基因）和细胞治疗（改造细胞功能），在癌症、遗传病、免疫疾病等领域展现潜力。</w:t>
      </w:r>
    </w:p>
    <w:p w14:paraId="702521F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22. 核医疗：结合核技术与医学的交叉学科，利用放射性同位素或核辐射进行疾病诊断、治疗及研究。其核心是通过视踪技术精准定位病灶，或通过放射线破坏病变细胞，具有无创、精准、高效的特点，广泛用于肿瘤、心血管等疾病的诊疗。</w:t>
      </w:r>
    </w:p>
    <w:p w14:paraId="5BCE484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23.医用同位素：具有特定放射性的一类原子，广泛应用于医学诊断、治疗和科研领域。它们通过释放ɑ粒子、β粒子或γ射线，帮助实现病灶定位、肿瘤杀伤或生物分子追踪，是现代医学不可或缺的重要工具。</w:t>
      </w:r>
    </w:p>
    <w:p w14:paraId="4A62D0C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24. 多模态大模型：通过整合文本、图像、视频、音频等多类型数据进行联合训练的深度学习模型，核心技术包括跨模态编码器训练、语义对齐与特征融合。</w:t>
      </w:r>
    </w:p>
    <w:p w14:paraId="54EAED1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25. 垂类大模型：针对特定行业或领域进行深度优化的人工智能模型，通过融合行业知识、业务规则及场景数据实现精准应用，具有专业性、合规性及场景适配性特征。</w:t>
      </w:r>
    </w:p>
    <w:p w14:paraId="660833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26. 智能体：指能够感知环境变化，根据自身学习到的知识和算法进行判断和决策，进而采取行动以实现特定目标的代理体。它可以是软件、硬件或一个系统，具备自主性、适应性和交互能力。</w:t>
      </w:r>
    </w:p>
    <w:p w14:paraId="5DCDBF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27. 琶洲算法大赛：市政府与中国人工智能学会共同主办，多家单位承办的全球性人工智能算法赛事，自2022年首届举办以来，规模持续扩大，已成为推动人工智能技术与产业融合的重要平台。</w:t>
      </w:r>
    </w:p>
    <w:p w14:paraId="764884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28. 工业互联网：通过开放的、全球化的工业级网络平台把设备、生产线、工厂、供应商、产品和客户紧密地连接和融合起来，高效共享工业经济中的各种要素资源，从而通过自动化、智能化的生产方式降低成本、增加效率，帮助制造业延长产业链，推动制造业转型发展。</w:t>
      </w:r>
    </w:p>
    <w:p w14:paraId="2C4D4E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29. 生物基材料：以可再生生物质（包括农作物、树木、动植物残体等）为原料，通过生物、化学或物理手段制成的新型材料。</w:t>
      </w:r>
    </w:p>
    <w:p w14:paraId="4DB5A43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30. 植物基肉：以大豆、豌豆、小麦等植物蛋白为原料，通过化学分离提取蛋白后，经加热、挤压等工艺重构纤维结构形成类似动物肉质地的人造肉制品。</w:t>
      </w:r>
    </w:p>
    <w:p w14:paraId="1DCF597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31. 细胞培养肉：通过体外培养动物细胞制成的肉类食品。其制作过程包括从动物身上提取细胞，在实验室环境中培养并繁殖，最终形成具有肉纹理的产品。</w:t>
      </w:r>
    </w:p>
    <w:p w14:paraId="573B5CA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32. 纳米科技：以动态力学、分子生物学、微电子等为基础的现代科学技术，是一种用单个原子、分子制造物质的技术，主要研究结构尺寸在1—100纳米范围内材料的性质和应用，包括纳米材料、纳米器件等领域。</w:t>
      </w:r>
    </w:p>
    <w:p w14:paraId="361BDD3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33. 超材料：通过人工设计微结构实现自然界不存在的、具有超常物理性质的人工复合材料。</w:t>
      </w:r>
    </w:p>
    <w:p w14:paraId="4901964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34. 太赫兹：电磁波的一种，频率在0.1THz—10THz （1THz=10</w:t>
      </w:r>
      <w:r>
        <w:rPr>
          <w:rFonts w:hint="eastAsia" w:ascii="宋体" w:hAnsi="宋体" w:eastAsia="宋体" w:cs="宋体"/>
          <w:i w:val="0"/>
          <w:iCs w:val="0"/>
          <w:caps w:val="0"/>
          <w:color w:val="333333"/>
          <w:spacing w:val="0"/>
          <w:sz w:val="15"/>
          <w:szCs w:val="15"/>
          <w:bdr w:val="none" w:color="auto" w:sz="0" w:space="0"/>
          <w:shd w:val="clear" w:fill="FFFFFF"/>
          <w:vertAlign w:val="superscript"/>
        </w:rPr>
        <w:t>12</w:t>
      </w:r>
      <w:r>
        <w:rPr>
          <w:rFonts w:hint="eastAsia" w:ascii="宋体" w:hAnsi="宋体" w:eastAsia="宋体" w:cs="宋体"/>
          <w:i w:val="0"/>
          <w:iCs w:val="0"/>
          <w:caps w:val="0"/>
          <w:color w:val="333333"/>
          <w:spacing w:val="0"/>
          <w:sz w:val="24"/>
          <w:szCs w:val="24"/>
          <w:bdr w:val="none" w:color="auto" w:sz="0" w:space="0"/>
          <w:shd w:val="clear" w:fill="FFFFFF"/>
        </w:rPr>
        <w:t>Hz）范围内，具有穿透性强、定向性好等特征，在医学、勘探、通信等领域具有良好的应用前景。</w:t>
      </w:r>
    </w:p>
    <w:p w14:paraId="62BA713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35. 量子科技：量子物理和信息技术相结合发展起来的新学科，主要包括量子计算、量子通信、量子测量等领域。</w:t>
      </w:r>
    </w:p>
    <w:p w14:paraId="740426F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36. 企业上市“领头羊”行动计划：市政府为推动本地企业利用资本市场实现高质量发展而制定的专项政策，于2020年首次实施，强调政府引导与市场主导相结合，注重培育优质企业，推动其通过上市实现资源优化配置和核心竞争力提升。</w:t>
      </w:r>
    </w:p>
    <w:p w14:paraId="5BCE5C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37. 普通合伙人：在一个合伙企业中，拥有管理和决策权力，需要对企业的运营和债务承担全部责任的合伙人。</w:t>
      </w:r>
    </w:p>
    <w:p w14:paraId="237245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38. 主权财富基金：与私人财富相对应，是指一国政府通过特定税收与预算分配、可再生自然资源收入和国际收支盈余等方式积累形成的，由政府控制与支配的，通常以外币形式持有的公共财富。</w:t>
      </w:r>
    </w:p>
    <w:p w14:paraId="32C4ECD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39. 私募股权二级市场基金：Secondary Fund，简称S基金，指参与已设立私募基金投资标的以及份额投资的基金。</w:t>
      </w:r>
    </w:p>
    <w:p w14:paraId="7D34689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40. 投资顾问：专门从事于提供投资建议而获薪酬的专业人士，广义上涵盖金融、房地产、商品等各类投资领域，狭义特指证券行业的专业顾问，主要服务于证券、基金及债券等金融领域。</w:t>
      </w:r>
    </w:p>
    <w:p w14:paraId="7075198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41. 特殊资产：价值被低估、具有较大升值潜力或存在变现需求的资产，包括不良债权、收益权、实物等。</w:t>
      </w:r>
    </w:p>
    <w:p w14:paraId="5A29D90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42. 府院联动：指政府与法院紧密合作、互联互通、协调联动的长效工作机制，解决破产企业处置过程中民生保障、社会稳定、财产接管、税收申报、资产处置、金融协调、信用修复、打击逃废债、变更注销、中介管理、费用保障等问题。</w:t>
      </w:r>
    </w:p>
    <w:p w14:paraId="4D5897B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43. 合格境内有限合伙人（QDLP）试点：通过资格审批并获取外汇额度后的基金管理企业，向境内合格投资者募集资金，设立试点基金投资于境外一级、二级市场的试点制度。</w:t>
      </w:r>
    </w:p>
    <w:p w14:paraId="756732E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44. 合格境外有限合伙人（QFLP）试点：允许境外投资者通过资格审批和外汇监管程序，将境外资本兑换为人民币并投资于境内非公开交易企业股权的试点制度。</w:t>
      </w:r>
    </w:p>
    <w:p w14:paraId="5E04D5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45. 自由贸易账户（FT）：银行为客户在自由贸易试验区分账核算单元开立的规则统一的本外币账户。</w:t>
      </w:r>
    </w:p>
    <w:p w14:paraId="60FD24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46.“跨境理财通”业务：粤港澳大湾区内地和港澳个人投资者通过区内金融机构建立的闭环式资金管道开展的跨境投资业务。</w:t>
      </w:r>
    </w:p>
    <w:p w14:paraId="0E8B4B7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47. 区域全面经济伙伴关系协定（RCEP）：2020年11月，由中国、日本、韩国、澳大利亚、新西兰、东盟十国（文莱、柬埔寨、印度尼西亚、老挝、马来西亚、缅甸、菲律宾、新加坡、泰国、越南）共15个成员国签署的现代、全面、高水平、互惠的全球最大自由贸易协定。</w:t>
      </w:r>
    </w:p>
    <w:p w14:paraId="71FB0EC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48. 天然气水合物：天然气与水在高压低温条件下形成的类冰状的结晶物质，遇火即燃，常见于深海沉积物或陆上永久冻土中。由于总量巨大、能量密度高，有可能成为未来主要替代能源。</w:t>
      </w:r>
    </w:p>
    <w:p w14:paraId="7C221CF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49. 一船一库一装置一基地：“梦想”号大洋钻探船、大洋钻探岩心库、冷泉生态系统研究装置、极地考察国内基地（广东）。</w:t>
      </w:r>
    </w:p>
    <w:p w14:paraId="5D4BE03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50. 深潜、深钻、深网、极地：深潜，指利用载人潜水器、无人潜水器等装备，直接潜入深海进行观测、采样和作业；深钻，指在深海海底进行钻探获取岩心样本的技术，主要用于研究地球形成演化、调查海底矿产资源分布等；深网，指利用海底观测网络实现对深海环境长期连续观测、实时监测的技术；极地，通常指地球南北两极及其周边区域，主要包括北极圈以北的北极地区和南极圈以南的南极地区，目前主要以开展自然环境、资源潜力及全球气候变化等科学考察为主。</w:t>
      </w:r>
    </w:p>
    <w:p w14:paraId="00886C7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51. 飞海：一种跨行政区域的海洋产业协同发展创新模式，指在海洋产业方面具备比较优势的行政区，通过将技术、资本、人才等相关资源引入海洋自然资源丰富及海洋产业基础扎实的行政区，以跨空间的方式实现两地海洋资源互补、产业协调发展。</w:t>
      </w:r>
    </w:p>
    <w:p w14:paraId="5795BDA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52. 联合国“海洋科学促进可持续发展十年”：简称“海洋十年”，是联合国发起的一项全球性科学倡议，旨在通过海洋科技创新推动可持续发展。该倡议于2021年1月正式启动，持续至2030年，其核心目标是扭转海洋健康衰退趋势，促进海洋、气候与人类社会的和谐发展。</w:t>
      </w:r>
    </w:p>
    <w:p w14:paraId="047744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53. 沿途下蛋：在科研过程中同步推进技术转化和产业化，缩短从原始创新到市场落地的周期。</w:t>
      </w:r>
    </w:p>
    <w:p w14:paraId="58D504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54. 广东强芯：广东省为突破芯片制造瓶颈、打造集成电路产业高地而实施的战略工程，核心目标是构建“四梁八柱”产业体系，成为国家集成电路产业发展“第三极”。</w:t>
      </w:r>
    </w:p>
    <w:p w14:paraId="424C46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55. 显示制造装备“璀璨行动”：在广东省委、省政府部署下，由季华实验室（先进制造科学与技术广东省实验室）牵头组织实施、联合我国显示领域优势研究单位和产业链上下游企业，推动显示产业升级的重大行动。</w:t>
      </w:r>
    </w:p>
    <w:p w14:paraId="4A9F5D4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56. 补改投：一种财政资金使用方式的改革，旨在通过将传统的直接补助（“补”）转变为股权投资（“投”），提升资金使用效率，引导社会资本投向重点领域，如科技创新和产业发展。</w:t>
      </w:r>
    </w:p>
    <w:p w14:paraId="737FA47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57. “广州科技GI”平台：广州市科学技术局建设的科技企业全生命周期服务平台，旨在通过人工智能和大数据技术，为企业提供从初创到上市的精准化、智能化服务。</w:t>
      </w:r>
    </w:p>
    <w:p w14:paraId="08860C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58. 耐心资本：一种专注于长期投资的资本形式，重视长期回报的项目或投资活动，不以追求短期收益为首要目标，通常不受市场短期波动干扰，是对资本回报有较长期限展望且对风险有较高承受力的资本。</w:t>
      </w:r>
    </w:p>
    <w:p w14:paraId="5AD03AE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59. 硬科技：基于科学发现和技术发明，经过长期研究积累形成的，具有较高技术门槛和明确的应用场景，能代表科技发展最先进水平、引领新一轮科技革命和产业变革，对经济社会发展具有重大支撑作用的关键核心技术。</w:t>
      </w:r>
    </w:p>
    <w:p w14:paraId="261256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60. 一核两翼：“一核”为科创要素活力核，区域包括广州大学城、国际生物岛以及大学城南岸，“两翼”指以广州中新知识城环九龙湖区域形成的产业创新转化北翼和南沙区庆盛枢纽北区域形成的科技创新转化南翼。</w:t>
      </w:r>
    </w:p>
    <w:p w14:paraId="26D6049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61. 沙盒监管：划设特定区域范围，对在区域里面的企业，采取包容审慎的监管措施。</w:t>
      </w:r>
    </w:p>
    <w:p w14:paraId="2F541D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62. “新工科”教育：支持高校以创新创业人才培养为导向推进“新工科”教育改革，在学生培养、师资配置、师生评价、资源投入、校地协同等方面创新体制机制，构建“科—教—产—融—创”一体化的创新创业人才培养新模式。</w:t>
      </w:r>
    </w:p>
    <w:p w14:paraId="45AF9CA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63. “一区一赛道、一业一劲旅”人才发展格局：指通过创新实施“重点产业人才开发培育工程”，以竞争性扶持的方式，差异化引导各区围绕本地主导优势产业，推出一批细分产业人才开发项目，集中资源精力全链条打造产业人才梯队，积聚细分领域产业人才竞争比较优势，力争经过几年努力，通过错位发展，使各区在全国乃至全球范围内成为某一细分产业领域人才开发“单项冠军”。</w:t>
      </w:r>
    </w:p>
    <w:p w14:paraId="5B01F10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64. “百万英才汇南粤”广州行动计划：落实全省“百万英才汇南粤”行动计划部署，整合全市人才政策资源，通过系统谋划、创新打法、拓展路径，打出举办大型综合招聘、N城联动招聘、成建制引进等“组合拳”，进一步加大高校毕业生等各类人才引进力度，力争五年吸纳100万以上高校毕业生来穗就业创业。</w:t>
      </w:r>
    </w:p>
    <w:p w14:paraId="2897EDD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65. “穗岁平安”综合服务保障：加强人才服务政策统筹力度，与专业社会机构合作，围绕人才住房、健康医疗、创新创业等方面需求实施一揽子综合服务保障措施，并建立一体化人才服务工作体系。</w:t>
      </w:r>
    </w:p>
    <w:p w14:paraId="4D0548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66. 市场采购贸易：由符合条件的经营者在经商务部等部门认定的市场集聚区内采购的、单票报关单商品货值15万美元以下（含15万美元）、在采购地办理出口商品通关手续的贸易方式。</w:t>
      </w:r>
    </w:p>
    <w:p w14:paraId="37C34E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67. 链式竞争：供应链与供应链之间的整体竞争，并非单个企业或环节的竞争。</w:t>
      </w:r>
    </w:p>
    <w:p w14:paraId="1CBCC07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68. “5+10+N”物流枢纽布局：“5”指5个特大型物流枢纽，包括广州空港物流枢纽、广州南沙港物流枢纽、广州东部公铁联运枢纽、广州铁路集装箱中心站公铁联运枢纽、广清空港现代物流产业新城等，“10”指10个大型交通物流枢纽，包括白云神山物流枢纽、龙沙汽车物流枢纽、广州高铁快运物流枢纽、黄埔新港物流枢纽、下元物流枢纽、花都港物流枢纽、花都狮岭物流枢纽、增城开发区物流枢纽、小虎沙仔物流枢纽、从化明珠物流枢纽，“N”指鱼窝头、龙溪、太和等节点性物流枢纽。</w:t>
      </w:r>
    </w:p>
    <w:p w14:paraId="2230957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69. 多式联运“一单制”、集装箱运输“一箱制”：多式联运“一单制”指货物运输凭一份多式联运运单，实现托运人一次委托、费用一次结算的组织机制；集装箱运输“一箱制”指集装箱运输实现全程不换箱、不开箱、“一箱到底”的服务模式。</w:t>
      </w:r>
    </w:p>
    <w:p w14:paraId="3CB4301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70. “双前置”物流货站模式：航空货物安检和海关查验前置至具有海关监管功能的场所进行，通过双前置操作完成的货物，可通过特殊监管车辆短驳至机场货站直接装机，无需重复进行海关查验及货物安检工作，从而提升物流效率。</w:t>
      </w:r>
    </w:p>
    <w:p w14:paraId="523AA9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71. 首发经济：指企业发布新产品，推出新业态、新模式、新服务、新技术，开设首店等经济活动的总称。</w:t>
      </w:r>
    </w:p>
    <w:p w14:paraId="09C02D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72. 免税经济：通过免除和减免特定商品和服务税收，进而促进消费及带动相关产业发展的经济形态。</w:t>
      </w:r>
    </w:p>
    <w:p w14:paraId="7A3612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73. 演艺经济：通过演艺活动（如演唱会、音乐节、戏剧演出等）所形成的一系列经济活动的总和。</w:t>
      </w:r>
    </w:p>
    <w:p w14:paraId="2FA3C8E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74. 国潮经济：以中国传统文化元素为核心，融合现代潮流设计形成的消费经济形态。</w:t>
      </w:r>
    </w:p>
    <w:p w14:paraId="6878C0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75. 人体干细胞治疗：一种通过将干细胞（一类具有自我复制能力和多向分化潜能的细胞）移植到患者体内，用于修复或替换受损组织或器官的医疗手段。</w:t>
      </w:r>
    </w:p>
    <w:p w14:paraId="7BC47E4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76. 羊城消费新八景：以时间为轴，立足商旅文体健融合，以八大主题开放场景链接现实消费场景，结合传统节庆文化，创新具有“岭南韵、中国风、国际范”的消费品牌矩阵。</w:t>
      </w:r>
    </w:p>
    <w:p w14:paraId="2F7D9D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77. 悦己消费：以获取主观幸福感为核心目标的消费行为类型，其核心特征是不为特定纪念或仪式，仅以满足个体愉悦需求为出发点，已成为消费升级的重要趋势。</w:t>
      </w:r>
    </w:p>
    <w:p w14:paraId="3F40E02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78. 情绪消费：为了满足消费者精神层面需求的消费模式，表现为消费者通过购买商品或服务实现情绪释放、情感体验及精神享受等。</w:t>
      </w:r>
    </w:p>
    <w:p w14:paraId="609EE72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79. 数字贸易：以数据为关键生产要素、数字服务为核心、数据订购与交付为主要特征的贸易，主要包括数字产品贸易、数字服务贸易、数字技术贸易和数字订购贸易四部分。</w:t>
      </w:r>
    </w:p>
    <w:p w14:paraId="0DC6BE3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80. “跨境电商+产业带”模式：依托庞大产业集群，通过跨境电商业务模式，促进跨境电商平台与地方特色产业带的深度联动，形成“供应链优势+数字化渠道”的双向赋能模式。</w:t>
      </w:r>
    </w:p>
    <w:p w14:paraId="272B79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81. “粤贸全球”计划：是广东省2021年推出的贸易高质量发展十大工程之一，通过一系列的政策和措施，帮助企业拓展国际市场，提升广东商品在全球的竞争力。</w:t>
      </w:r>
    </w:p>
    <w:p w14:paraId="2E352A1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82. 5G-A：5G-Advanced，俗称5.5G网络，是传统5G网络的升级版。相较于传统5G网络，其在容量、速度、时延等方面实现了大幅度提升。</w:t>
      </w:r>
    </w:p>
    <w:p w14:paraId="129574F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83. “双万兆”通信网络：即万兆级无线网络和万兆级有线光纤网络。</w:t>
      </w:r>
    </w:p>
    <w:p w14:paraId="32186C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84. 智能计算：基于GPU（图形处理器）、ASIC（专用集成电路）等AI芯片的加速计算平台提供的算力，主要用于人工智能的训练和推理计算，语音、图像和视频的处理等。</w:t>
      </w:r>
    </w:p>
    <w:p w14:paraId="443427E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85. 超级计算：由超级计算机等高性能计算集群所提供的算力，主要用于尖端科学领域的计算。</w:t>
      </w:r>
    </w:p>
    <w:p w14:paraId="5132857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86. 通用计算：由基于CPU芯片的服务器所提供的算力，主要用于基础通用计算，如移动计算和物联网等。</w:t>
      </w:r>
    </w:p>
    <w:p w14:paraId="1E0DE8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87. 可信数据空间：基于共识规则，联接多方主体，实现数据资源共享共用的一种数据流通利用基础设施，是数据要素价值共创的应用生态，是支撑构建全国一体化数据市场的重要载体。</w:t>
      </w:r>
    </w:p>
    <w:p w14:paraId="26644D9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88. 数字孪生：充分利用物理模型、传感器数据、运行历史等信息，集成多学科、多物理量、多尺度的仿真过程，在虚拟空间中构建与物理实体全要素、全流程、全生命周期映射的数字化系统，实现对物理实体的实时监控、分析、预测和优化。</w:t>
      </w:r>
    </w:p>
    <w:p w14:paraId="60DC69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89. “五主四辅”客运枢纽：“五主”为广州站、广州东站、广州南站、广州白云站、佛山西站；“四辅”为广州北站、鱼珠站、新塘站、南沙站。</w:t>
      </w:r>
    </w:p>
    <w:p w14:paraId="57276A7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90. 十大对外高铁通道：广州—长沙—北京、广州—南昌—北京、广州—汕尾—上海、广州—梅州—上海、广州—深圳—香港、广州—珠海—澳门、广州—茂名—海口、广州—南宁—昆明、广州—贵阳—西宁、广州—永州—重庆。</w:t>
      </w:r>
    </w:p>
    <w:p w14:paraId="24493BA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91. 轨道交通“四网融合”：指干线铁路、城际铁路、市域（郊）铁路和城市轨道交通的融合。</w:t>
      </w:r>
    </w:p>
    <w:p w14:paraId="0E5B14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92. 交通组织微循环：通过优化城市道路网络中次干路、支路等低等级道路的交通流线，提升局部区域交通集散效率的组织方式。</w:t>
      </w:r>
    </w:p>
    <w:p w14:paraId="292E07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93. 零基预算：在预算编制时不受以往预算安排情况的影响，结合实际需求和财力状况，逐项审议预算年度内各项支出，按照轻重缓急安排支出的预算编制方法。</w:t>
      </w:r>
    </w:p>
    <w:p w14:paraId="440E73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94. “五个一”工作体系：一张产业图谱、一份规划政策、一批产业项目、一批产业园区、一个产业基金。</w:t>
      </w:r>
    </w:p>
    <w:p w14:paraId="12B4C25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95. 广州市招商土地超市：由广州市规划和自然资源局推出的数字化招商服务平台，提供“零距离读地、全要素招商、选地‘一键达’”一体化服务，旨在为全球投资者提供土地资源对接支持。</w:t>
      </w:r>
    </w:p>
    <w:p w14:paraId="5DD3EDC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96. 五统一、一开放：统一市场基础制度、统一市场基础设施、统一政府行为尺度、统一市场监管执法、统一要素资源市场，持续扩大对内对外开放。</w:t>
      </w:r>
    </w:p>
    <w:p w14:paraId="7CF141D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97. 第二增长曲线：企业经历一段时间增长以后，以传统业务或现有业务为主的增长曲线达到峰值并开始放缓，通过引入新的业务、产品或模式，开启第二次增长阶段。</w:t>
      </w:r>
    </w:p>
    <w:p w14:paraId="4BC485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98. 新时代穗商培养工程：由市委统战部、市工商联等12个部门联合主办，面向广州民营企业，每期公开选拔120名优秀年轻一代企业家（含20名港澳企业家）。聚焦提升学员政治力、领导力、洞察力，强化理想信念教育，增强创新发展与基业传承能力，大力弘扬新时代穗商精神。</w:t>
      </w:r>
    </w:p>
    <w:p w14:paraId="273643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99. 单项冠军企业：工业和信息化部组织认定的中国制造业企业的一项荣誉，授予长期专注于制造业特定细分领域，生产技术或工艺国际领先，且单项产品市场占有率位居全球或国内前列的企业。</w:t>
      </w:r>
    </w:p>
    <w:p w14:paraId="42387EC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100. 瞪羚企业：指跨过创业初期后，在较短时间内以超常规速度发展，并且无论在技术、商业模式还是产业组织形式上都有强大创新能力的企业。</w:t>
      </w:r>
    </w:p>
    <w:p w14:paraId="0AB881D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101. 独角兽企业：一般指成立时间不超过10年、估值超过10亿美元，且具备独有核心技术、独特竞争优势和市场潜力的未上市企业。</w:t>
      </w:r>
    </w:p>
    <w:p w14:paraId="1EE576D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102. “湾区通”工程：粤港澳大湾区建设中的综合性工程，旨在通过规则衔接、机制对接和基础设施互联互通，促进人流、物流、资金流、信息流等跨境高效便捷流动，提升大湾区区域一体化水平和协同效应。</w:t>
      </w:r>
    </w:p>
    <w:p w14:paraId="7B3063A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103. 五港联动：海港、空港、数字港、金融港、人才港协同联动。</w:t>
      </w:r>
    </w:p>
    <w:p w14:paraId="770C2C4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104. 湾区一港通：广州海关联合广州港集团推出的大湾区物流一体化改革项目。该模式以广州南沙港为枢纽港，珠江内河沿江港口作为支线港，一次性无纸化办理进出口货物通关手续，实现进出口货物全天候快速通关，有效缩短货物在港堆存期，降低企业整体物流成本，促进南沙港和珠江沿江码头航运资源互补。</w:t>
      </w:r>
    </w:p>
    <w:p w14:paraId="3DCE8A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105. 五乐计划：“乐游广州”深化穗港澳青年交流交往，“乐学广州”支持港澳青年学习研修，“乐业广州”支持港澳青年实习就业，“乐创广州”支持港澳青年创新创业，“乐居广州”强化住房教育医疗等保障。</w:t>
      </w:r>
    </w:p>
    <w:p w14:paraId="2504E84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106. 港澳药械通：2021年8月实施，允许粤港澳大湾区内地指定医疗机构使用港澳已上市的急需药品和医疗器械。</w:t>
      </w:r>
    </w:p>
    <w:p w14:paraId="4E0F77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107. 湾区社保通：广州、深圳、佛山、东莞四市与澳门特别行政区率先签署合作意向，通过社银合作设立跨境服务网点，实现港澳居民参保登记、待遇申领等高频业务“跨境办”。</w:t>
      </w:r>
    </w:p>
    <w:p w14:paraId="3750A12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108. 长者医疗券计划：香港特区政府于2009年推出的便民政策，面向年满65岁的合资格香港长者发放每年2000港元的医疗券（累计上限8000港元），用于支付门诊服务费用。</w:t>
      </w:r>
    </w:p>
    <w:p w14:paraId="74F137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109. 广东院舍照顾服务计划：香港社会福利署自2014年6月起面向香港长者推行的社会福利政策，由香港社会福利署资助符合条件的香港长者在内地养老机构的食宿、护理服务及基本医疗等费用。</w:t>
      </w:r>
    </w:p>
    <w:p w14:paraId="705158B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110. 准入又准营：放宽市场准入后落实外资国民待遇、清理限制外资公平竞争的措施，实现外资从市场准入到顺利经营的无缝衔接，塑造吸引外资新优势。</w:t>
      </w:r>
    </w:p>
    <w:p w14:paraId="43BC528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111. “5年5万”倡议：习近平总书记2023年访美时表示“中美关系希望在人民，基础在民间，未来在青年，活力在地方”，并宣布为扩大中美两国人民特别是青少年一代交流，中方未来5年愿邀请5万名美国青少年来华交流学习。</w:t>
      </w:r>
    </w:p>
    <w:p w14:paraId="616538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112. “全球青年看广州”系列行动：通过实地参访、文化体验与交流互动，向世界青年展示广州作为国际科创中心重要承载地和国家历史文化名城的多元魅力。</w:t>
      </w:r>
    </w:p>
    <w:p w14:paraId="506989E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113. “千万工程”经验：习近平总书记在浙江工作时亲自谋划推动“千村示范、万村整治”工程，从农村环境整治入手，由点及面、迭代升级，20年持续努力造就了万千美丽乡村，造福了万千农民群众，创造了推进乡村全面振兴的成功经验和实践范例。</w:t>
      </w:r>
    </w:p>
    <w:p w14:paraId="4A97D3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114. 一带一轴、三核四极：“一带”指珠江高质量发展带，“一轴”指活力创新轴，“三核”指老城区“历史文化核”、东部中心“现代活力核”、南沙“未来发展核”，“四极”指北部增长极、狮子洋增长极、国家知识中心城、从化绿色发展示范区。</w:t>
      </w:r>
    </w:p>
    <w:p w14:paraId="61AC8F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115. 新一轮“穗农奔富”行动：2022年6月，市委实施乡村振兴战略领导小组印发《广州市“穗农奔富”行动方案（2022—2025年）》，此后迭代更新，拟制新一轮“穗农奔富”行动，持续完善农民稳定增收长效机制，推动共同富裕取得实质性进展。</w:t>
      </w:r>
    </w:p>
    <w:p w14:paraId="585AB4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116. “穗字种业”振兴行动：以打造广州种业创新高地为目标，通过系统性实施种质资源保护、种业创新攻关、种业企业扶优、种业基地提升、种业市场净化“五大行动”，为保障粮食等重要农产品有效供给，加快都市现代农业强市建设提供有力支撑。</w:t>
      </w:r>
    </w:p>
    <w:p w14:paraId="192A2DB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117. 四好农村路：农村公路建好、管好、护好、运营好。</w:t>
      </w:r>
    </w:p>
    <w:p w14:paraId="234E31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118. 农村“头雁”工程：农业农村部、财政部2022年启动的乡村产业振兴带头人培育项目，自2022年起每年为每个县培育10名左右“头雁”，用5年时间培育一批带动农民增收的“领头雁”，带动全国新型农业经营主体形成“雁阵”，夯实乡村产业振兴人才基础。</w:t>
      </w:r>
    </w:p>
    <w:p w14:paraId="07752BD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119. 科技特派员：指立足产业发展需求，从国内外高等学校、科研院所中选拔，派驻到市内相关企业、专业镇、高新区、民营科技园区等开展产学研结合工作的科技人员。</w:t>
      </w:r>
    </w:p>
    <w:p w14:paraId="603AB7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120. “百园千企”行动：市计划与广州对口帮扶合作地区、国内合作城市的市（区、县）产业园及园区企业，通过技术共享、产能协同、市场互通，构建优势互补、利益共享的良性循环，促进区域产业协同发展。</w:t>
      </w:r>
    </w:p>
    <w:p w14:paraId="1E5EDA7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121. 一团帮一镇：由市有关单位和有关市属（联系）企业、高校、科研院所建立帮扶组团，与花都、从化、增城的31个街（镇）建立结对关系，推动政策、资金、项目等方面的市级纵向支持。</w:t>
      </w:r>
    </w:p>
    <w:p w14:paraId="1396B8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122. 八区包八镇：由越秀、海珠、荔湾、天河、白云、黄埔、番禺、南沙区与“北部山区八镇”（包括：花都区梯面镇，从化区鳌头镇、温泉镇、良口镇、吕田镇，增城区派潭镇、正果镇、小楼镇）建立结对帮扶关系，推动跨区域资源共享、互促共建的横向帮扶协作。</w:t>
      </w:r>
    </w:p>
    <w:p w14:paraId="70BC59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123. 百街扶百村：由越秀、海珠、荔湾、天河、白云、黄埔、番禺、南沙区组织辖区街（镇）与对口帮扶镇的集体经济相对薄弱村建立结对关系，整合资源加大对重点村的帮扶协作。</w:t>
      </w:r>
    </w:p>
    <w:p w14:paraId="74D1F1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124. “千企帮千镇、万企兴万村”行动：广东省为推动脱贫攻坚向乡村振兴有效衔接，动员有意愿有能力的民营、国有企业结对帮扶乡镇（街道）、行政村（社区），重点支持帮扶粤东粤西粤北地区和珠三角地区的脱贫村、集体经济薄弱村以及少数民族地区、重点老区苏区所辖镇村，参与东西部协作。</w:t>
      </w:r>
    </w:p>
    <w:p w14:paraId="3103C5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125. 房票安置：征收人将计划安置的房屋转化为货币，以房票形式出具给被征收人，由被征收人自行向参与房票安置工作的房地产开发企业购买商品房的一种房屋安置方式。</w:t>
      </w:r>
    </w:p>
    <w:p w14:paraId="40F36CC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126. 嵌入式社区服务设施：以社区（小区）为单位，通过新建或改造的方式，在社区（小区）公共空间嵌入功能性设施和适配性服务，为居民提供家门口服务。</w:t>
      </w:r>
    </w:p>
    <w:p w14:paraId="5E5EC8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127. 未来社区（完整社区）：以人民幸福美好生活为核心，以生态、宜居、智慧为价值导向，社区空间、功能、治理协同发展的新型城市功能单元。</w:t>
      </w:r>
    </w:p>
    <w:p w14:paraId="034534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128. 工改工：对现有低效工业用地进行工业用途的再开发、再利用，通过拆除重建、改扩建、综合整治等方式，实现工业用地的提质增效，是推动产业转型升级的重要手段。</w:t>
      </w:r>
    </w:p>
    <w:p w14:paraId="1545D3A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129. 工业上楼：企业在高层楼房中进行工业生产的产业新空间模式。</w:t>
      </w:r>
    </w:p>
    <w:p w14:paraId="5A3B644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130. 人民设计师：参与城市规划、建设、治理工作，提供专业设计、专业指导、技术服务或志愿服务工作的相关人员，包括专业设计师、地方政府选聘人员、社会公众等。</w:t>
      </w:r>
    </w:p>
    <w:p w14:paraId="3D3E369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131. 碳中和：在一定时间内直接或间接产生的温室气体排放总量，通过植树造林、节能减排等形式，以抵消自身产生的二氧化碳排放量，实现二氧化碳“零排放”。</w:t>
      </w:r>
    </w:p>
    <w:p w14:paraId="003EB4E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132. “两高一低”项目：指高耗能、高排放、低水平项目。</w:t>
      </w:r>
    </w:p>
    <w:p w14:paraId="0217994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133. 无废城市：以创新、协调、绿色、开放、共享的新发展理念为引领，通过推动形成绿色发展方式和生活方式，持续推进固体废物源头减量和资源化利用，最大限度减少固体废物填埋量，将固体废物环境影响降至最低的城市发展模式。</w:t>
      </w:r>
    </w:p>
    <w:p w14:paraId="318B9D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134. 三区三线：“三区”指城镇空间、农业空间、生态空间三类功能分区，“三线”指永久基本农田保护红线、生态保护红线、城镇开发边界三条控制线。</w:t>
      </w:r>
    </w:p>
    <w:p w14:paraId="710DBB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135. 新青山新六脉：“新青山”包括越秀山、白云山、火炉山、龙眼洞、凤凰山、帽峰山、南香山等连绵山体；“新六脉”包含东濠涌、沙河涌、车陂涌、乌涌、南岗河、永和河等河涌水系。</w:t>
      </w:r>
    </w:p>
    <w:p w14:paraId="6094B47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136. 九大生态片区：包括从化北部、花都北部、增城北部、增城西部、帽峰山5片山林生态片区，花都西部、增城南部、南沙北部3片农林生态片区和南沙滨海生态片区。</w:t>
      </w:r>
    </w:p>
    <w:p w14:paraId="298E4C8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137. 六大生态绿核：白云山、海珠湿地、白云湖、大夫山—滴水岩、黄山鲁和南沙湿地。</w:t>
      </w:r>
    </w:p>
    <w:p w14:paraId="0172C39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138. 穗好办：广州市政务服务的统一门户，提供便捷的一站式政务办理、政策查询和企业服务。</w:t>
      </w:r>
    </w:p>
    <w:p w14:paraId="1B577E8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139. 穗@i企：2023年广州市政务服务和数据管理局创新打造“穗@i企”（读作“穗ai企”，寓意“爱企、暖企、惠企、助企”），该平台实现了企业需求和政府服务供给的精准匹配和高效转化。</w:t>
      </w:r>
    </w:p>
    <w:p w14:paraId="1DE201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140. 涉企行政检查“综合查一次”：多层级、多部门行政机关对同一检查对象实施的跨领域联合执法检查，通过“进一次门、查多项事”模式提升执法效能，优化法治化营商环境。</w:t>
      </w:r>
    </w:p>
    <w:p w14:paraId="643B64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141. 亮码入企：指行政执法人员进入企业或个体工商户经营场所实施现场检查时，必须通过“广东省综合管理监督平台”的行政执法业务子平台提前制定并录入检查计划、创建并审批检查任务，获取自动生成的“检查码”，并在入企检查时主动向被检查对象出示电子执法证和“检查码”后方可实施检查的管理机制。</w:t>
      </w:r>
    </w:p>
    <w:p w14:paraId="74E162E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142.药品流通“两票制”：指药品从药厂卖到一级经销商开一次发票，经销商卖到医院再开一次发票，以“两票”替代目前常见的七票、八票，减少流通环节的层层盘剥，并且每个品种的一级经销商不得超过两个。</w:t>
      </w:r>
    </w:p>
    <w:p w14:paraId="392060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143. 广州街坊：广州群防共治队伍的统称，主要包括政法干部等专业力量、出租屋管理员等半专业力量、出租车司机等行业性社会力量、热心平安建设的广大市民群众等志愿力量，主要发挥信息员、巡防员、调解员、宣传员作用。</w:t>
      </w:r>
    </w:p>
    <w:p w14:paraId="720DEC3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144. 最小应急响应圈：广州市推行的基层应急管理体系，通过分级响应机制实现突发事件的快速处置，核心结构包括三层，第一层为“1—3—5分钟自救圈”，第二层为“10分钟增援圈”，第三层为“20分钟专业救援圈”。</w:t>
      </w:r>
    </w:p>
    <w:p w14:paraId="151B44E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145. 两社三中心：把社区努力建成服务中心、邻里中心、活动中心，体现社区的社气、社品。</w:t>
      </w:r>
    </w:p>
    <w:p w14:paraId="7770F0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146. 新时代“枫桥经验”：“枫桥经验”发源于浙江省诸暨县枫桥镇，其基本内涵是发动和依靠群众，坚持矛盾不上交，就地解决。新时代“枫桥经验”主要内容是在社会治理中实行“五个坚持”，即坚持党建引领，坚持人民主体，坚持自治、法治、德治“三治融合”，坚持人防、物防、技防、心防“四防并举”，坚持共建共享。</w:t>
      </w:r>
    </w:p>
    <w:p w14:paraId="0121420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147. 两个结合：把马克思主义基本原理同中国具体实际相结合、同中华优秀传统文化相结合。</w:t>
      </w:r>
    </w:p>
    <w:p w14:paraId="537EFB4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148. “四大文化”品牌：红色文化、岭南文化、海丝文化、创新文化。</w:t>
      </w:r>
    </w:p>
    <w:p w14:paraId="6DA4F3B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149. 岭南文化“双创”工程：推动岭南优秀传统文化创造性转化、创新性发展。</w:t>
      </w:r>
    </w:p>
    <w:p w14:paraId="6BE1F2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150. 三雕一彩一绣：“三雕”指牙雕、玉雕、木雕，“一彩”指广彩，“一绣”指广绣。</w:t>
      </w:r>
    </w:p>
    <w:p w14:paraId="5E0B8AA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151. 对外文化贸易“千帆出海”行动计划：由商务部、中央宣传部、文化和旅游部等部门共同发起，旨在通过搭建多元文化贸易促进平台，如展览展示、对接洽谈、线上交易平台等，扶持文化企业“出海”，提升我国文化产品与服务的国际竞争力与中华文化的国际传播力。</w:t>
      </w:r>
    </w:p>
    <w:p w14:paraId="09679EB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152. “12890”托育综合服务网络：打造12个示范性托育综合服务中心，实现街（镇）公建民营普惠托育园、社区托育点、托育机构健康园长、托育人才岗位培训、托育机构责任保险、托育机构预付费监管、卫生保健评价指导、托育服务从业人员持有初级及以上保育师职业技能等级证书占比8个100%全覆盖，星级托育服务机构占比达90%。</w:t>
      </w:r>
    </w:p>
    <w:p w14:paraId="38693F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153. 安宁疗护：以终末期患者及其家属为中心，以多学科协作模式为患者提供躯体、精神、心理、社会等方面的整合照护和人文关怀服务，减轻患者的痛苦和不适症状，提高生命质量，帮助患者舒适、安详、有尊严地离世，以达到逝者安详、生者安宁的目的。</w:t>
      </w:r>
    </w:p>
    <w:p w14:paraId="70F1FD8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154. 医养结合：医疗资源与养老资源相结合，实现社会资源利用的最大化。利用“医养一体化”的发展模式，集医疗、康复、养生、养老等为一体，把老年人健康医疗服务放在首要位置，将养老机构和医院的功能相结合，把生活照料和康复关怀融为一体的新型养老服务模式。</w:t>
      </w:r>
    </w:p>
    <w:p w14:paraId="7742CB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155. 银龄行动：以老年人为主体，坚持自觉自愿、量力而行的原则，以开展智力援助和参与基层治理、社会服务等为内容，服务经济社会发展的志愿服务活动。</w:t>
      </w:r>
    </w:p>
    <w:p w14:paraId="22CA4E8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156. 集团化办学：以优质品牌学校或者优质教育资源为龙头，与其他学校，特别是薄弱学校、农村学校、新建学校，组建教育集团，制定共同的教育发展愿景与目标，并在教育理念、学校管理、课程建设、教师发展、教育科研、信息技术、考核评价、校产管理等方面进行统一，实现管理、设备、教师等优质教育资源的共建共享，推动集团内各成员校同步、优质、均衡、特色发展。</w:t>
      </w:r>
    </w:p>
    <w:p w14:paraId="56ACCF8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157. 普通高中渡峰扩优计划：“十五五”时期广州高中学龄人口快速增长，为回应人民群众入读普通高中的需求，实施普通高中渡峰扩优计划，主要任务为加大普通高中学校建设力度，多渠道扩大普通高中学位供给，缩小外围城区与中心城区教育发展差距，实现平稳渡峰。</w:t>
      </w:r>
    </w:p>
    <w:p w14:paraId="764613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158. 教联体：以中小学生健康快乐成长为目标、以学校为圆心、以区域为主体、以资源为纽带，促进家校社有效协同的一种工作方式。</w:t>
      </w:r>
    </w:p>
    <w:p w14:paraId="23825C3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159. 中高企协同长学制：中职学校、高职学校和企业三方协同开展的五年一体化人才培养模式，学生通过连续学习获得中职和高职毕业证书及职业技能证书，实习就业由合作企业保障。</w:t>
      </w:r>
    </w:p>
    <w:p w14:paraId="623A638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160. 城市医疗集团：由三级公立医院或者业务能力较强的医院牵头，联合社区卫生服务机构、护理院、专业康复机构等，形成资源共享、分工协作的管理模式。在医联体内以人才共享、技术支持、检查互认、处方流动、服务衔接等为纽带进行合作。</w:t>
      </w:r>
    </w:p>
    <w:p w14:paraId="6FCF77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161. 清风侠行动：包括清风侠悦读行、清风侠网络行、清风侠文明行、清风侠校园行、清风侠研学行、清风侠文化行6项子行动，旨在加强未成年人权益保护和犯罪预防。</w:t>
      </w:r>
    </w:p>
    <w:p w14:paraId="60EF36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162. 监督执纪“四种形态”：第一种形态为经常开展批评和自我批评，及时进行谈话提醒、批评教育、责令检查、诫勉，让“红红脸、出出汗”成为常态；第二种形态为党纪轻处分、组织调整成为违纪处理的大多数；第三种形态为党纪重处分、重大职务调整的成为少数；第四种形态为严重违纪涉嫌犯罪追究刑事责任的成为极少数。</w:t>
      </w:r>
    </w:p>
    <w:p w14:paraId="4E95BD5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163. 三个区分开来：把干部在推进改革中因缺乏经验、先行先试出现的失误和错误，同明知故犯的违纪违法行为区分开来；把上级尚无明确限制的探索性试验中的失误和错误，同上级明令禁止后依然我行我素的违纪违法行为区分开来；把为推动发展的无意过失，同为谋取私利的违纪违法行为区分开来。</w:t>
      </w:r>
    </w:p>
    <w:p w14:paraId="5B297D9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164. 一府一委两院：人民政府、监察委员会、人民法院、人民检察院。</w:t>
      </w:r>
    </w:p>
    <w:p w14:paraId="3B456E6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165. 民意码上说、实事马上办：通过二维码线上收集群众反映问题，并由人大代表联络站跟进处理的一项工作机制。</w:t>
      </w:r>
    </w:p>
    <w:p w14:paraId="16B5F4C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166. 代表随手拍：市人大代表通过“广州人大i履职”微信小程序，以文字、图片或视频形式向市人大常委会反映对本市行政区域内各方面工作的建议、批评和意见的一种履职方式。</w:t>
      </w:r>
    </w:p>
    <w:p w14:paraId="28A324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　　167. “十”字履职：市政协探索建立的协商模式，即坚持以提案为中心，围绕区域发展重点议题，纵向上加强与全国、省、区政协的联系交流，横向上加强与党派团体、政府部门、兄弟城市和市民群众的协作互动，推动协商民主广泛多层制度化发展。</w:t>
      </w:r>
    </w:p>
    <w:p w14:paraId="3FA296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p>
    <w:p w14:paraId="2CCCA5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Style w:val="6"/>
          <w:rFonts w:hint="eastAsia" w:ascii="宋体" w:hAnsi="宋体" w:eastAsia="宋体" w:cs="宋体"/>
          <w:i w:val="0"/>
          <w:iCs w:val="0"/>
          <w:caps w:val="0"/>
          <w:color w:val="333333"/>
          <w:spacing w:val="0"/>
          <w:sz w:val="24"/>
          <w:szCs w:val="24"/>
          <w:bdr w:val="none" w:color="auto" w:sz="0" w:space="0"/>
          <w:shd w:val="clear" w:fill="FFFFFF"/>
        </w:rPr>
        <w:t>公开方式：</w:t>
      </w:r>
      <w:r>
        <w:rPr>
          <w:rFonts w:hint="eastAsia" w:ascii="宋体" w:hAnsi="宋体" w:eastAsia="宋体" w:cs="宋体"/>
          <w:i w:val="0"/>
          <w:iCs w:val="0"/>
          <w:caps w:val="0"/>
          <w:color w:val="333333"/>
          <w:spacing w:val="0"/>
          <w:sz w:val="24"/>
          <w:szCs w:val="24"/>
          <w:bdr w:val="none" w:color="auto" w:sz="0" w:space="0"/>
          <w:shd w:val="clear" w:fill="FFFFFF"/>
        </w:rPr>
        <w:t>主动公开</w:t>
      </w:r>
    </w:p>
    <w:p w14:paraId="04396E8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8" w:lineRule="atLeast"/>
        <w:ind w:left="0" w:right="0"/>
        <w:jc w:val="both"/>
      </w:pPr>
      <w:r>
        <w:rPr>
          <w:rFonts w:hint="eastAsia" w:ascii="宋体" w:hAnsi="宋体" w:eastAsia="宋体" w:cs="宋体"/>
          <w:i w:val="0"/>
          <w:iCs w:val="0"/>
          <w:caps w:val="0"/>
          <w:color w:val="333333"/>
          <w:spacing w:val="0"/>
          <w:sz w:val="24"/>
          <w:szCs w:val="24"/>
          <w:bdr w:val="none" w:color="auto" w:sz="0" w:space="0"/>
          <w:shd w:val="clear" w:fill="FFFFFF"/>
        </w:rPr>
        <w:t>广州市人民政府办公厅秘书处 2026年5月28日印发</w:t>
      </w:r>
    </w:p>
    <w:p w14:paraId="5E36DC5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055778"/>
    <w:rsid w:val="74C04F97"/>
    <w:rsid w:val="7C055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107</Pages>
  <Words>0</Words>
  <Characters>0</Characters>
  <Lines>0</Lines>
  <Paragraphs>0</Paragraphs>
  <TotalTime>3</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2026-10-14T18:26:00Z</dcterms:created>
  <dc:creator>张晔</dc:creator>
  <cp:lastModifiedBy>张晔</cp:lastModifiedBy>
  <dcterms:modified xsi:type="dcterms:W3CDTF">2026-10-14T18:30:18Z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28A947FE3E7B48EBA4A540281CA50804_11</vt:lpwstr>
  </property>
  <property fmtid="{D5CDD505-2E9C-101B-9397-08002B2CF9AE}" pid="4" name="KSOTemplateDocerSaveRecord">
    <vt:lpwstr>eyJoZGlkIjoiNGM0ZDhmZTFmNWFkZGMwMzZiMjI2ZTE2OTMzZjQ4YTYiLCJ1c2VySWQiOiIyMjE0NjkzODEifQ==</vt:lpwstr>
  </property>
</Properties>
</file>